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8E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АДМИНИСТРАЦИ</w:t>
      </w:r>
      <w:r>
        <w:rPr>
          <w:spacing w:val="20"/>
        </w:rPr>
        <w:t xml:space="preserve">Я </w:t>
      </w:r>
      <w:r w:rsidR="00D6608E" w:rsidRPr="00D6608E">
        <w:rPr>
          <w:spacing w:val="20"/>
        </w:rPr>
        <w:t>ЗИМИН</w:t>
      </w:r>
      <w:r w:rsidRPr="00D6608E">
        <w:rPr>
          <w:spacing w:val="20"/>
        </w:rPr>
        <w:t>СКОГО</w:t>
      </w:r>
      <w:r w:rsidRPr="00701CA1">
        <w:rPr>
          <w:spacing w:val="20"/>
        </w:rPr>
        <w:t xml:space="preserve"> СЕЛЬСОВЕТА </w:t>
      </w:r>
    </w:p>
    <w:p w:rsidR="00546313" w:rsidRPr="00701CA1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 xml:space="preserve">ТОПЧИХИНСКОГО </w:t>
      </w:r>
      <w:bookmarkStart w:id="0" w:name="_GoBack"/>
      <w:bookmarkEnd w:id="0"/>
      <w:r w:rsidRPr="00701CA1">
        <w:rPr>
          <w:spacing w:val="20"/>
        </w:rPr>
        <w:t>РАЙОНААЛТАЙСКОГО КРАЯ</w:t>
      </w:r>
    </w:p>
    <w:p w:rsidR="00546313" w:rsidRDefault="00546313" w:rsidP="00546313">
      <w:pPr>
        <w:jc w:val="center"/>
      </w:pPr>
    </w:p>
    <w:p w:rsidR="00546313" w:rsidRPr="00701CA1" w:rsidRDefault="00546313" w:rsidP="00546313">
      <w:pPr>
        <w:jc w:val="center"/>
      </w:pPr>
    </w:p>
    <w:p w:rsidR="00546313" w:rsidRPr="00701CA1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7D6BBA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7D6BBA" w:rsidRDefault="00D6608E" w:rsidP="00EA1FD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29.12</w:t>
      </w:r>
      <w:r w:rsidR="00546313" w:rsidRPr="007D6BBA">
        <w:rPr>
          <w:rFonts w:ascii="Arial" w:hAnsi="Arial" w:cs="Arial"/>
        </w:rPr>
        <w:t>.202</w:t>
      </w:r>
      <w:r w:rsidR="00546313">
        <w:rPr>
          <w:rFonts w:ascii="Arial" w:hAnsi="Arial" w:cs="Arial"/>
        </w:rPr>
        <w:t>3</w:t>
      </w:r>
      <w:r w:rsidR="00546313" w:rsidRPr="007D6BBA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="00A72E2D">
        <w:rPr>
          <w:rFonts w:ascii="Arial" w:hAnsi="Arial" w:cs="Arial"/>
        </w:rPr>
        <w:t xml:space="preserve">          </w:t>
      </w:r>
      <w:r w:rsidR="00E34E3D">
        <w:rPr>
          <w:rFonts w:ascii="Arial" w:hAnsi="Arial" w:cs="Arial"/>
        </w:rPr>
        <w:t xml:space="preserve"> № 61</w:t>
      </w:r>
    </w:p>
    <w:p w:rsidR="00546313" w:rsidRPr="007D6BBA" w:rsidRDefault="00D6608E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r w:rsidR="00546313" w:rsidRPr="007D6BBA">
        <w:rPr>
          <w:rFonts w:ascii="Arial" w:hAnsi="Arial" w:cs="Arial"/>
          <w:b/>
          <w:sz w:val="18"/>
          <w:szCs w:val="18"/>
        </w:rPr>
        <w:t xml:space="preserve">. </w:t>
      </w:r>
      <w:r w:rsidRPr="00D6608E">
        <w:rPr>
          <w:rFonts w:ascii="Arial" w:hAnsi="Arial" w:cs="Arial"/>
          <w:b/>
          <w:sz w:val="18"/>
          <w:szCs w:val="18"/>
        </w:rPr>
        <w:t>Зимино</w:t>
      </w:r>
    </w:p>
    <w:p w:rsidR="00261A11" w:rsidRPr="00C35984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D75209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D75209">
        <w:rPr>
          <w:rFonts w:ascii="Times New Roman" w:hAnsi="Times New Roman" w:cs="Times New Roman"/>
          <w:sz w:val="27"/>
          <w:szCs w:val="27"/>
        </w:rPr>
        <w:t xml:space="preserve">Об установлении </w:t>
      </w:r>
      <w:proofErr w:type="gramStart"/>
      <w:r w:rsidRPr="00D75209">
        <w:rPr>
          <w:rFonts w:ascii="Times New Roman" w:hAnsi="Times New Roman" w:cs="Times New Roman"/>
          <w:sz w:val="27"/>
          <w:szCs w:val="27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D75209">
        <w:rPr>
          <w:rFonts w:ascii="Times New Roman" w:hAnsi="Times New Roman" w:cs="Times New Roman"/>
          <w:sz w:val="27"/>
          <w:szCs w:val="27"/>
        </w:rPr>
        <w:t xml:space="preserve"> </w:t>
      </w:r>
      <w:r w:rsidR="00D6608E" w:rsidRPr="00D6608E">
        <w:rPr>
          <w:rFonts w:ascii="Times New Roman" w:hAnsi="Times New Roman" w:cs="Times New Roman"/>
          <w:sz w:val="27"/>
          <w:szCs w:val="27"/>
        </w:rPr>
        <w:t>Зимин</w:t>
      </w:r>
      <w:r w:rsidR="00546313" w:rsidRPr="00D6608E">
        <w:rPr>
          <w:rFonts w:ascii="Times New Roman" w:hAnsi="Times New Roman" w:cs="Times New Roman"/>
          <w:sz w:val="27"/>
          <w:szCs w:val="27"/>
        </w:rPr>
        <w:t>ский</w:t>
      </w:r>
      <w:r w:rsidR="00546313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D75209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D6608E">
        <w:rPr>
          <w:rFonts w:ascii="Times New Roman" w:hAnsi="Times New Roman" w:cs="Times New Roman"/>
          <w:sz w:val="27"/>
          <w:szCs w:val="27"/>
        </w:rPr>
        <w:t xml:space="preserve"> </w:t>
      </w:r>
      <w:r w:rsidRPr="00D75209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D6608E">
        <w:rPr>
          <w:rFonts w:ascii="Times New Roman" w:hAnsi="Times New Roman" w:cs="Times New Roman"/>
          <w:sz w:val="27"/>
          <w:szCs w:val="27"/>
        </w:rPr>
        <w:t xml:space="preserve"> </w:t>
      </w:r>
      <w:r w:rsidR="00D6608E" w:rsidRPr="00D6608E">
        <w:rPr>
          <w:rFonts w:ascii="Times New Roman" w:hAnsi="Times New Roman" w:cs="Times New Roman"/>
          <w:sz w:val="27"/>
          <w:szCs w:val="27"/>
        </w:rPr>
        <w:t>Зимин</w:t>
      </w:r>
      <w:r w:rsidR="00546313" w:rsidRPr="00D6608E">
        <w:rPr>
          <w:rFonts w:ascii="Times New Roman" w:hAnsi="Times New Roman" w:cs="Times New Roman"/>
          <w:sz w:val="27"/>
          <w:szCs w:val="27"/>
        </w:rPr>
        <w:t>ский</w:t>
      </w:r>
      <w:r w:rsidR="00546313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FF5261">
        <w:rPr>
          <w:rFonts w:ascii="Times New Roman" w:hAnsi="Times New Roman" w:cs="Times New Roman"/>
          <w:sz w:val="27"/>
          <w:szCs w:val="27"/>
        </w:rPr>
        <w:t xml:space="preserve"> 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016AE1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9162E8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9162E8">
        <w:rPr>
          <w:rFonts w:ascii="Times New Roman" w:hAnsi="Times New Roman" w:cs="Times New Roman"/>
          <w:sz w:val="27"/>
          <w:szCs w:val="27"/>
        </w:rPr>
        <w:t>Бюджетн</w:t>
      </w:r>
      <w:r w:rsidRPr="009162E8">
        <w:rPr>
          <w:rFonts w:ascii="Times New Roman" w:hAnsi="Times New Roman" w:cs="Times New Roman"/>
          <w:sz w:val="27"/>
          <w:szCs w:val="27"/>
        </w:rPr>
        <w:t>ого</w:t>
      </w:r>
      <w:hyperlink r:id="rId5" w:history="1">
        <w:r w:rsidR="00261A11" w:rsidRPr="009162E8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9162E8">
        <w:rPr>
          <w:rFonts w:ascii="Times New Roman" w:hAnsi="Times New Roman" w:cs="Times New Roman"/>
          <w:sz w:val="27"/>
          <w:szCs w:val="27"/>
        </w:rPr>
        <w:t>а</w:t>
      </w:r>
      <w:r w:rsidR="00261A11" w:rsidRPr="009162E8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r w:rsidR="00D6608E" w:rsidRPr="00D6608E">
        <w:rPr>
          <w:rFonts w:ascii="Times New Roman" w:hAnsi="Times New Roman" w:cs="Times New Roman"/>
          <w:sz w:val="27"/>
          <w:szCs w:val="27"/>
        </w:rPr>
        <w:t>Зимин</w:t>
      </w:r>
      <w:r w:rsidR="005E1D5F" w:rsidRPr="00D6608E">
        <w:rPr>
          <w:rFonts w:ascii="Times New Roman" w:hAnsi="Times New Roman" w:cs="Times New Roman"/>
          <w:sz w:val="27"/>
          <w:szCs w:val="27"/>
        </w:rPr>
        <w:t>ский</w:t>
      </w:r>
      <w:r w:rsidR="00D6608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Топчихинского района Алтайского края, </w:t>
      </w:r>
      <w:proofErr w:type="gramStart"/>
      <w:r w:rsidR="00A72E2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72E2D">
        <w:rPr>
          <w:rFonts w:ascii="Times New Roman" w:hAnsi="Times New Roman" w:cs="Times New Roman"/>
          <w:sz w:val="27"/>
          <w:szCs w:val="27"/>
        </w:rPr>
        <w:t xml:space="preserve"> о с т а н о в л я ю</w:t>
      </w:r>
      <w:r w:rsidR="00261A11" w:rsidRPr="009162E8">
        <w:rPr>
          <w:rFonts w:ascii="Times New Roman" w:hAnsi="Times New Roman" w:cs="Times New Roman"/>
          <w:sz w:val="27"/>
          <w:szCs w:val="27"/>
        </w:rPr>
        <w:t>:</w:t>
      </w:r>
    </w:p>
    <w:p w:rsidR="00D75209" w:rsidRPr="009162E8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1. Установить Порядок санкционирования оплаты денежных обязательств получателей средств бюджета муниципального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r w:rsidR="00EA1FDE" w:rsidRPr="00EA1FDE">
        <w:rPr>
          <w:rFonts w:ascii="Times New Roman" w:hAnsi="Times New Roman" w:cs="Times New Roman"/>
          <w:sz w:val="27"/>
          <w:szCs w:val="27"/>
        </w:rPr>
        <w:t>Зимин</w:t>
      </w:r>
      <w:r w:rsidR="005E1D5F" w:rsidRPr="00EA1FDE">
        <w:rPr>
          <w:rFonts w:ascii="Times New Roman" w:hAnsi="Times New Roman" w:cs="Times New Roman"/>
          <w:sz w:val="27"/>
          <w:szCs w:val="27"/>
        </w:rPr>
        <w:t>ский</w:t>
      </w:r>
      <w:r w:rsidR="00EA1FD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FF5261"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9162E8">
        <w:rPr>
          <w:rFonts w:ascii="Times New Roman" w:hAnsi="Times New Roman" w:cs="Times New Roman"/>
          <w:sz w:val="27"/>
          <w:szCs w:val="27"/>
        </w:rPr>
        <w:t>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9162E8">
        <w:rPr>
          <w:rFonts w:ascii="Times New Roman" w:hAnsi="Times New Roman" w:cs="Times New Roman"/>
          <w:sz w:val="27"/>
          <w:szCs w:val="27"/>
        </w:rPr>
        <w:t>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9162E8">
        <w:rPr>
          <w:rFonts w:ascii="Times New Roman" w:hAnsi="Times New Roman" w:cs="Times New Roman"/>
          <w:sz w:val="27"/>
          <w:szCs w:val="27"/>
        </w:rPr>
        <w:t xml:space="preserve"> (далее </w:t>
      </w:r>
      <w:proofErr w:type="gramStart"/>
      <w:r w:rsidR="00383B26" w:rsidRPr="009162E8">
        <w:rPr>
          <w:rFonts w:ascii="Times New Roman" w:hAnsi="Times New Roman" w:cs="Times New Roman"/>
          <w:sz w:val="27"/>
          <w:szCs w:val="27"/>
        </w:rPr>
        <w:t>–б</w:t>
      </w:r>
      <w:proofErr w:type="gramEnd"/>
      <w:r w:rsidR="00383B26" w:rsidRPr="009162E8">
        <w:rPr>
          <w:rFonts w:ascii="Times New Roman" w:hAnsi="Times New Roman" w:cs="Times New Roman"/>
          <w:sz w:val="27"/>
          <w:szCs w:val="27"/>
        </w:rPr>
        <w:t>юджет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9162E8">
        <w:rPr>
          <w:rFonts w:ascii="Times New Roman" w:hAnsi="Times New Roman" w:cs="Times New Roman"/>
          <w:sz w:val="27"/>
          <w:szCs w:val="27"/>
        </w:rPr>
        <w:t>)</w:t>
      </w:r>
      <w:r w:rsidRPr="009162E8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880F26" w:rsidRPr="00880F26">
        <w:rPr>
          <w:rFonts w:ascii="Times New Roman" w:hAnsi="Times New Roman" w:cs="Times New Roman"/>
          <w:sz w:val="27"/>
          <w:szCs w:val="27"/>
        </w:rPr>
        <w:t>Зимин</w:t>
      </w:r>
      <w:r w:rsidR="005E1D5F" w:rsidRPr="00880F26">
        <w:rPr>
          <w:rFonts w:ascii="Times New Roman" w:hAnsi="Times New Roman" w:cs="Times New Roman"/>
          <w:sz w:val="27"/>
          <w:szCs w:val="27"/>
        </w:rPr>
        <w:t>ский</w:t>
      </w:r>
      <w:r w:rsidR="00880F26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9162E8">
        <w:rPr>
          <w:rFonts w:ascii="Times New Roman" w:hAnsi="Times New Roman" w:cs="Times New Roman"/>
          <w:sz w:val="27"/>
          <w:szCs w:val="27"/>
        </w:rPr>
        <w:t>ого</w:t>
      </w:r>
      <w:r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9162E8">
        <w:rPr>
          <w:rFonts w:ascii="Times New Roman" w:hAnsi="Times New Roman" w:cs="Times New Roman"/>
          <w:sz w:val="27"/>
          <w:szCs w:val="27"/>
        </w:rPr>
        <w:t>.</w:t>
      </w:r>
    </w:p>
    <w:p w:rsidR="00056EC2" w:rsidRPr="009162E8" w:rsidRDefault="00880F26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160B8C" w:rsidRPr="009162E8">
        <w:rPr>
          <w:rFonts w:ascii="Times New Roman" w:hAnsi="Times New Roman" w:cs="Times New Roman"/>
          <w:sz w:val="27"/>
          <w:szCs w:val="27"/>
        </w:rPr>
        <w:t>. Настоящее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B1784" w:rsidRPr="009162E8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9162E8">
        <w:rPr>
          <w:rFonts w:ascii="Times New Roman" w:hAnsi="Times New Roman" w:cs="Times New Roman"/>
          <w:sz w:val="27"/>
          <w:szCs w:val="27"/>
        </w:rPr>
        <w:t>4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9162E8" w:rsidRDefault="00880F26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D330A" w:rsidRPr="009162E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4D330A" w:rsidRPr="009162E8">
        <w:rPr>
          <w:rFonts w:ascii="Times New Roman" w:hAnsi="Times New Roman" w:cs="Times New Roman"/>
          <w:sz w:val="27"/>
          <w:szCs w:val="27"/>
        </w:rPr>
        <w:t xml:space="preserve"> н</w:t>
      </w:r>
      <w:r w:rsidR="002D7AC0" w:rsidRPr="009162E8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9162E8">
        <w:rPr>
          <w:rFonts w:ascii="Times New Roman" w:hAnsi="Times New Roman" w:cs="Times New Roman"/>
          <w:sz w:val="27"/>
          <w:szCs w:val="27"/>
        </w:rPr>
        <w:t>ее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9162E8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80F2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</w:t>
      </w:r>
      <w:r w:rsidRPr="009162E8">
        <w:rPr>
          <w:rFonts w:ascii="Times New Roman" w:hAnsi="Times New Roman" w:cs="Times New Roman"/>
          <w:sz w:val="27"/>
          <w:szCs w:val="27"/>
        </w:rPr>
        <w:t>ения оставляю за собой.</w:t>
      </w:r>
    </w:p>
    <w:p w:rsidR="00427D8F" w:rsidRPr="009162E8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Pr="009162E8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9162E8" w:rsidRDefault="00880F26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160B8C" w:rsidRPr="009162E8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А.Г. Джаназян</w:t>
      </w:r>
    </w:p>
    <w:p w:rsidR="009162E8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80F26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80F26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80F26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80F26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80F26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80F26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80F26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80F26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  <w:proofErr w:type="gramEnd"/>
    </w:p>
    <w:p w:rsidR="005E1D5F" w:rsidRPr="007D6BBA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02229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А</w:t>
      </w:r>
      <w:r w:rsidR="005E1D5F" w:rsidRPr="007D6BBA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0F26">
        <w:rPr>
          <w:rFonts w:ascii="Times New Roman" w:hAnsi="Times New Roman" w:cs="Times New Roman"/>
          <w:sz w:val="26"/>
          <w:szCs w:val="26"/>
        </w:rPr>
        <w:t>Зимин</w:t>
      </w:r>
      <w:r w:rsidR="00682CB7" w:rsidRPr="00880F26">
        <w:rPr>
          <w:rFonts w:ascii="Times New Roman" w:hAnsi="Times New Roman" w:cs="Times New Roman"/>
          <w:sz w:val="26"/>
          <w:szCs w:val="26"/>
        </w:rPr>
        <w:t>ского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сельсовета</w:t>
      </w:r>
      <w:r w:rsidR="005E1D5F" w:rsidRPr="007D6BB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</w:t>
      </w:r>
    </w:p>
    <w:p w:rsidR="005E1D5F" w:rsidRPr="007D6BBA" w:rsidRDefault="00880F26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</w:t>
      </w:r>
      <w:r w:rsidR="005E1D5F" w:rsidRPr="007D6BBA">
        <w:rPr>
          <w:rFonts w:ascii="Times New Roman" w:hAnsi="Times New Roman" w:cs="Times New Roman"/>
          <w:sz w:val="26"/>
          <w:szCs w:val="26"/>
        </w:rPr>
        <w:t>.202</w:t>
      </w:r>
      <w:r w:rsidR="00682CB7">
        <w:rPr>
          <w:rFonts w:ascii="Times New Roman" w:hAnsi="Times New Roman" w:cs="Times New Roman"/>
          <w:sz w:val="26"/>
          <w:szCs w:val="26"/>
        </w:rPr>
        <w:t>3</w:t>
      </w:r>
      <w:r w:rsidR="00E34E3D">
        <w:rPr>
          <w:rFonts w:ascii="Times New Roman" w:hAnsi="Times New Roman" w:cs="Times New Roman"/>
          <w:sz w:val="26"/>
          <w:szCs w:val="26"/>
        </w:rPr>
        <w:t xml:space="preserve"> № 61</w:t>
      </w:r>
    </w:p>
    <w:p w:rsidR="00056EC2" w:rsidRPr="00687262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"/>
      <w:bookmarkEnd w:id="1"/>
      <w:r w:rsidRPr="00687262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</w:p>
    <w:p w:rsidR="00A458D6" w:rsidRPr="00687262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880F26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687262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Default="00261A11" w:rsidP="00880F2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880F26" w:rsidRPr="00687262" w:rsidRDefault="00880F26" w:rsidP="00880F2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261A11" w:rsidRDefault="001028B9" w:rsidP="00880F2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687262">
        <w:rPr>
          <w:rFonts w:ascii="Times New Roman" w:hAnsi="Times New Roman" w:cs="Times New Roman"/>
          <w:sz w:val="27"/>
          <w:szCs w:val="27"/>
        </w:rPr>
        <w:t xml:space="preserve">санкционирования оплаты денежных обязательств получателей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880F26" w:rsidRPr="00687262" w:rsidRDefault="00880F26" w:rsidP="00880F2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Default="00031726" w:rsidP="00880F2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2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687262">
        <w:rPr>
          <w:rFonts w:ascii="Times New Roman" w:hAnsi="Times New Roman" w:cs="Times New Roman"/>
          <w:sz w:val="27"/>
          <w:szCs w:val="27"/>
        </w:rPr>
        <w:t>исполнение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687262">
        <w:rPr>
          <w:rFonts w:ascii="Times New Roman" w:hAnsi="Times New Roman" w:cs="Times New Roman"/>
          <w:sz w:val="27"/>
          <w:szCs w:val="27"/>
        </w:rPr>
        <w:t>ход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136385" w:rsidRPr="00687262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880F26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687262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ей </w:t>
      </w:r>
      <w:r w:rsidR="00880F26" w:rsidRPr="00880F26">
        <w:rPr>
          <w:rFonts w:ascii="Times New Roman" w:hAnsi="Times New Roman" w:cs="Times New Roman"/>
          <w:sz w:val="27"/>
          <w:szCs w:val="27"/>
        </w:rPr>
        <w:t>Зимин</w:t>
      </w:r>
      <w:r w:rsidR="007206C6" w:rsidRPr="00880F26">
        <w:rPr>
          <w:rFonts w:ascii="Times New Roman" w:hAnsi="Times New Roman" w:cs="Times New Roman"/>
          <w:sz w:val="27"/>
          <w:szCs w:val="27"/>
        </w:rPr>
        <w:t>ского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AE0BD9" w:rsidRPr="00687262">
        <w:rPr>
          <w:rFonts w:ascii="Times New Roman" w:hAnsi="Times New Roman" w:cs="Times New Roman"/>
          <w:sz w:val="27"/>
          <w:szCs w:val="27"/>
        </w:rPr>
        <w:t xml:space="preserve"> Топчихинского района Алтайского края</w:t>
      </w:r>
      <w:r w:rsidR="00880F26">
        <w:rPr>
          <w:rFonts w:ascii="Times New Roman" w:hAnsi="Times New Roman" w:cs="Times New Roman"/>
          <w:sz w:val="27"/>
          <w:szCs w:val="27"/>
        </w:rPr>
        <w:t>.</w:t>
      </w:r>
    </w:p>
    <w:p w:rsidR="00785997" w:rsidRPr="00687262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880F26" w:rsidRPr="00880F26">
        <w:rPr>
          <w:rFonts w:ascii="Times New Roman" w:hAnsi="Times New Roman" w:cs="Times New Roman"/>
          <w:sz w:val="27"/>
          <w:szCs w:val="27"/>
        </w:rPr>
        <w:t>Зимин</w:t>
      </w:r>
      <w:r w:rsidR="00785997" w:rsidRPr="00880F26">
        <w:rPr>
          <w:rFonts w:ascii="Times New Roman" w:hAnsi="Times New Roman" w:cs="Times New Roman"/>
          <w:sz w:val="27"/>
          <w:szCs w:val="27"/>
        </w:rPr>
        <w:t>ского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 (далее – Администрация</w:t>
      </w:r>
      <w:r w:rsidR="0004155A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785997" w:rsidRPr="00687262">
        <w:rPr>
          <w:rFonts w:ascii="Times New Roman" w:hAnsi="Times New Roman" w:cs="Times New Roman"/>
          <w:sz w:val="27"/>
          <w:szCs w:val="27"/>
        </w:rPr>
        <w:t>)</w:t>
      </w:r>
      <w:r w:rsidR="00880F26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 xml:space="preserve">на основании сводной бюджетной росписи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F116B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2.3. </w:t>
      </w:r>
      <w:proofErr w:type="gramStart"/>
      <w:r w:rsidRPr="00A11EC3">
        <w:rPr>
          <w:rFonts w:ascii="Times New Roman" w:hAnsi="Times New Roman" w:cs="Times New Roman"/>
          <w:sz w:val="27"/>
          <w:szCs w:val="27"/>
        </w:rPr>
        <w:t xml:space="preserve">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муниципальным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заданием, мероприятиями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программ </w:t>
      </w:r>
      <w:r w:rsidR="00880F26" w:rsidRPr="00880F26">
        <w:rPr>
          <w:rFonts w:ascii="Times New Roman" w:hAnsi="Times New Roman" w:cs="Times New Roman"/>
          <w:sz w:val="27"/>
          <w:szCs w:val="27"/>
        </w:rPr>
        <w:t>Зимин</w:t>
      </w:r>
      <w:r w:rsidR="00785997" w:rsidRPr="00880F26">
        <w:rPr>
          <w:rFonts w:ascii="Times New Roman" w:hAnsi="Times New Roman" w:cs="Times New Roman"/>
          <w:sz w:val="27"/>
          <w:szCs w:val="27"/>
        </w:rPr>
        <w:t>ского</w:t>
      </w:r>
      <w:r w:rsidR="00785997">
        <w:rPr>
          <w:rFonts w:ascii="Times New Roman" w:hAnsi="Times New Roman" w:cs="Times New Roman"/>
          <w:sz w:val="27"/>
          <w:szCs w:val="27"/>
        </w:rPr>
        <w:t xml:space="preserve"> </w:t>
      </w:r>
      <w:r w:rsidR="00785997">
        <w:rPr>
          <w:rFonts w:ascii="Times New Roman" w:hAnsi="Times New Roman" w:cs="Times New Roman"/>
          <w:sz w:val="27"/>
          <w:szCs w:val="27"/>
        </w:rPr>
        <w:lastRenderedPageBreak/>
        <w:t>сельсовета Топчихинского района Алтайского края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исходя из </w:t>
      </w:r>
      <w:r w:rsidRPr="00BF116B">
        <w:rPr>
          <w:rFonts w:ascii="Times New Roman" w:hAnsi="Times New Roman" w:cs="Times New Roman"/>
          <w:sz w:val="27"/>
          <w:szCs w:val="27"/>
        </w:rPr>
        <w:t>условий заключенных</w:t>
      </w:r>
      <w:proofErr w:type="gramEnd"/>
      <w:r w:rsidRPr="00BF116B">
        <w:rPr>
          <w:rFonts w:ascii="Times New Roman" w:hAnsi="Times New Roman" w:cs="Times New Roman"/>
          <w:sz w:val="27"/>
          <w:szCs w:val="27"/>
        </w:rPr>
        <w:t xml:space="preserve">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</w:t>
      </w:r>
      <w:r w:rsidR="00BF116B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  <w:r w:rsidRPr="00BF116B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F116B">
        <w:rPr>
          <w:rFonts w:ascii="Times New Roman" w:hAnsi="Times New Roman" w:cs="Times New Roman"/>
          <w:sz w:val="27"/>
          <w:szCs w:val="27"/>
        </w:rPr>
        <w:t>.</w:t>
      </w:r>
    </w:p>
    <w:p w:rsidR="00A11EC3" w:rsidRP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</w:t>
      </w:r>
      <w:proofErr w:type="gramStart"/>
      <w:r w:rsidRPr="00A11EC3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A11EC3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>
        <w:rPr>
          <w:rFonts w:ascii="Times New Roman" w:hAnsi="Times New Roman" w:cs="Times New Roman"/>
          <w:sz w:val="27"/>
          <w:szCs w:val="27"/>
        </w:rPr>
        <w:t>Администрацию</w:t>
      </w:r>
      <w:r w:rsidR="00880F26">
        <w:rPr>
          <w:rFonts w:ascii="Times New Roman" w:hAnsi="Times New Roman" w:cs="Times New Roman"/>
          <w:sz w:val="27"/>
          <w:szCs w:val="27"/>
        </w:rPr>
        <w:t xml:space="preserve"> </w:t>
      </w:r>
      <w:r w:rsidR="0004155A">
        <w:rPr>
          <w:rFonts w:ascii="Times New Roman" w:hAnsi="Times New Roman" w:cs="Times New Roman"/>
          <w:sz w:val="27"/>
          <w:szCs w:val="27"/>
        </w:rPr>
        <w:t>сельсовета</w:t>
      </w:r>
      <w:r w:rsidRPr="00A11EC3">
        <w:rPr>
          <w:rFonts w:ascii="Times New Roman" w:hAnsi="Times New Roman" w:cs="Times New Roman"/>
          <w:sz w:val="27"/>
          <w:szCs w:val="27"/>
        </w:rPr>
        <w:t>.</w:t>
      </w:r>
    </w:p>
    <w:p w:rsid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</w:t>
      </w:r>
      <w:proofErr w:type="gramStart"/>
      <w:r w:rsidRPr="00A11EC3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11EC3">
        <w:rPr>
          <w:rFonts w:ascii="Times New Roman" w:hAnsi="Times New Roman" w:cs="Times New Roman"/>
          <w:sz w:val="27"/>
          <w:szCs w:val="27"/>
        </w:rPr>
        <w:t xml:space="preserve"> целевым использованием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880F26">
        <w:rPr>
          <w:rFonts w:ascii="Times New Roman" w:hAnsi="Times New Roman" w:cs="Times New Roman"/>
          <w:sz w:val="27"/>
          <w:szCs w:val="27"/>
        </w:rPr>
        <w:t xml:space="preserve">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7D776B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EC7">
        <w:rPr>
          <w:rFonts w:ascii="Times New Roman" w:hAnsi="Times New Roman" w:cs="Times New Roman"/>
          <w:sz w:val="27"/>
          <w:szCs w:val="27"/>
        </w:rPr>
        <w:t>2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.7. 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3F4EC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3F4EC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3F4EC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766D72" w:rsidRPr="007D776B">
        <w:rPr>
          <w:rFonts w:ascii="Times New Roman" w:hAnsi="Times New Roman" w:cs="Times New Roman"/>
          <w:sz w:val="26"/>
          <w:szCs w:val="26"/>
        </w:rPr>
        <w:t>№</w:t>
      </w:r>
      <w:r w:rsidR="002B42AF" w:rsidRPr="007D776B">
        <w:rPr>
          <w:rFonts w:ascii="Times New Roman" w:hAnsi="Times New Roman" w:cs="Times New Roman"/>
          <w:sz w:val="26"/>
          <w:szCs w:val="26"/>
        </w:rPr>
        <w:t xml:space="preserve"> 21н (далее - Порядок казначейского обслуживания)</w:t>
      </w:r>
      <w:r w:rsidR="00EC7A77" w:rsidRPr="007D776B">
        <w:rPr>
          <w:rFonts w:ascii="Times New Roman" w:hAnsi="Times New Roman" w:cs="Times New Roman"/>
          <w:sz w:val="26"/>
          <w:szCs w:val="26"/>
        </w:rPr>
        <w:t>.</w:t>
      </w:r>
    </w:p>
    <w:p w:rsidR="009C314E" w:rsidRPr="007D776B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EF73C8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F73C8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F73C8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) и </w:t>
      </w: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3.2.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12) данных документов, удостоверяющих личность получателя средств по чеку;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10222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3C8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>
        <w:rPr>
          <w:rFonts w:ascii="Times New Roman" w:hAnsi="Times New Roman" w:cs="Times New Roman"/>
          <w:sz w:val="27"/>
          <w:szCs w:val="27"/>
        </w:rPr>
        <w:t>муниципальный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F73C8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</w:t>
      </w:r>
      <w:r w:rsidRPr="009162E8">
        <w:rPr>
          <w:rFonts w:ascii="Times New Roman" w:hAnsi="Times New Roman" w:cs="Times New Roman"/>
          <w:sz w:val="27"/>
          <w:szCs w:val="27"/>
        </w:rPr>
        <w:t xml:space="preserve">(соглашения) о предоставлении субсидии из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товаров, работ, услуг (далее - соглашение), договоров о предоставлении бюджетных инвестиций в соответствии со </w:t>
      </w:r>
      <w:hyperlink r:id="rId7">
        <w:r w:rsidRPr="009162E8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r:id="rId8">
        <w:r w:rsidRPr="009162E8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учета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бюджетных и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102229">
        <w:rPr>
          <w:rFonts w:ascii="Times New Roman" w:hAnsi="Times New Roman" w:cs="Times New Roman"/>
          <w:sz w:val="27"/>
          <w:szCs w:val="27"/>
        </w:rPr>
        <w:t xml:space="preserve">утвержденному </w:t>
      </w:r>
      <w:r w:rsidR="00102229" w:rsidRPr="00102229">
        <w:rPr>
          <w:rFonts w:ascii="Times New Roman" w:hAnsi="Times New Roman" w:cs="Times New Roman"/>
          <w:sz w:val="27"/>
          <w:szCs w:val="27"/>
        </w:rPr>
        <w:t>постановлением</w:t>
      </w:r>
      <w:r w:rsidR="00105E9D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102229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105E9D">
        <w:rPr>
          <w:rFonts w:ascii="Times New Roman" w:hAnsi="Times New Roman" w:cs="Times New Roman"/>
          <w:sz w:val="27"/>
          <w:szCs w:val="27"/>
        </w:rPr>
        <w:t>29.12.2023</w:t>
      </w:r>
      <w:r w:rsidR="00105E9D">
        <w:rPr>
          <w:rFonts w:ascii="Times New Roman" w:hAnsi="Times New Roman" w:cs="Times New Roman"/>
          <w:color w:val="FF0000"/>
          <w:sz w:val="27"/>
          <w:szCs w:val="27"/>
        </w:rPr>
        <w:t xml:space="preserve">            </w:t>
      </w:r>
      <w:r w:rsidR="00102229" w:rsidRPr="00105E9D">
        <w:rPr>
          <w:rFonts w:ascii="Times New Roman" w:hAnsi="Times New Roman" w:cs="Times New Roman"/>
          <w:sz w:val="27"/>
          <w:szCs w:val="27"/>
        </w:rPr>
        <w:t>№</w:t>
      </w:r>
      <w:r w:rsidR="00105E9D" w:rsidRPr="00105E9D">
        <w:rPr>
          <w:rFonts w:ascii="Times New Roman" w:hAnsi="Times New Roman" w:cs="Times New Roman"/>
          <w:sz w:val="27"/>
          <w:szCs w:val="27"/>
        </w:rPr>
        <w:t xml:space="preserve"> 6</w:t>
      </w:r>
      <w:r w:rsidR="00CB761E">
        <w:rPr>
          <w:rFonts w:ascii="Times New Roman" w:hAnsi="Times New Roman" w:cs="Times New Roman"/>
          <w:sz w:val="27"/>
          <w:szCs w:val="27"/>
        </w:rPr>
        <w:t>0</w:t>
      </w:r>
      <w:r w:rsidR="00105E9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«</w:t>
      </w:r>
      <w:r w:rsidRPr="00102229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10222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05E9D" w:rsidRPr="00105E9D">
        <w:rPr>
          <w:rFonts w:ascii="Times New Roman" w:hAnsi="Times New Roman" w:cs="Times New Roman"/>
          <w:sz w:val="27"/>
          <w:szCs w:val="27"/>
        </w:rPr>
        <w:t>Зимин</w:t>
      </w:r>
      <w:r w:rsidR="00102229" w:rsidRPr="00105E9D">
        <w:rPr>
          <w:rFonts w:ascii="Times New Roman" w:hAnsi="Times New Roman" w:cs="Times New Roman"/>
          <w:sz w:val="27"/>
          <w:szCs w:val="27"/>
        </w:rPr>
        <w:t>ский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края»</w:t>
      </w:r>
      <w:r w:rsidRPr="0010222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102229">
        <w:rPr>
          <w:rFonts w:ascii="Times New Roman" w:hAnsi="Times New Roman" w:cs="Times New Roman"/>
          <w:sz w:val="27"/>
          <w:szCs w:val="27"/>
        </w:rPr>
        <w:t>–</w:t>
      </w:r>
      <w:r w:rsidRPr="00102229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  <w:proofErr w:type="gramEnd"/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2229">
        <w:rPr>
          <w:rFonts w:ascii="Times New Roman" w:hAnsi="Times New Roman" w:cs="Times New Roman"/>
          <w:sz w:val="27"/>
          <w:szCs w:val="27"/>
        </w:rPr>
        <w:t>15) реквизитов (тип, номер, дата) документа, подтверждающего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17) идентификатора договора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F73C8">
        <w:rPr>
          <w:rFonts w:ascii="Times New Roman" w:hAnsi="Times New Roman" w:cs="Times New Roman"/>
          <w:sz w:val="27"/>
          <w:szCs w:val="27"/>
        </w:rPr>
        <w:t>02</w:t>
      </w:r>
      <w:r w:rsidR="00444883">
        <w:rPr>
          <w:rFonts w:ascii="Times New Roman" w:hAnsi="Times New Roman" w:cs="Times New Roman"/>
          <w:sz w:val="27"/>
          <w:szCs w:val="27"/>
        </w:rPr>
        <w:t>»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>
        <w:rPr>
          <w:rFonts w:ascii="Times New Roman" w:hAnsi="Times New Roman" w:cs="Times New Roman"/>
          <w:sz w:val="27"/>
          <w:szCs w:val="27"/>
        </w:rPr>
        <w:t xml:space="preserve"> с</w:t>
      </w:r>
      <w:r w:rsidRPr="00EF73C8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социальными выплатами населению;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исполнением судебных актов, поступивших на исполнение в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пунктом </w:t>
        </w:r>
        <w:r w:rsidR="005B2E17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 статьи 242.2</w:t>
        </w:r>
      </w:hyperlink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4) непревышение сумм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>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10) непревышение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11) непревышение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13) непревышение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14) неопережение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17) непревышение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непревышение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непревышение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непредоставления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уведомление в электронной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>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05E9D"/>
    <w:rsid w:val="00115A40"/>
    <w:rsid w:val="00120555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2AF"/>
    <w:rsid w:val="002C5B7F"/>
    <w:rsid w:val="002D305C"/>
    <w:rsid w:val="002D7AC0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11A6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6183C"/>
    <w:rsid w:val="005712A6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64B33"/>
    <w:rsid w:val="00766D72"/>
    <w:rsid w:val="00770BB6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1098"/>
    <w:rsid w:val="00857AFE"/>
    <w:rsid w:val="00860729"/>
    <w:rsid w:val="0086510B"/>
    <w:rsid w:val="00880F26"/>
    <w:rsid w:val="0088594D"/>
    <w:rsid w:val="00896CF4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2E2D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866F4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625CE"/>
    <w:rsid w:val="00C72E02"/>
    <w:rsid w:val="00C738F0"/>
    <w:rsid w:val="00C87631"/>
    <w:rsid w:val="00CA7CBE"/>
    <w:rsid w:val="00CB177F"/>
    <w:rsid w:val="00CB1878"/>
    <w:rsid w:val="00CB6C8F"/>
    <w:rsid w:val="00CB761E"/>
    <w:rsid w:val="00CC0AB3"/>
    <w:rsid w:val="00CF1B53"/>
    <w:rsid w:val="00D20F99"/>
    <w:rsid w:val="00D35736"/>
    <w:rsid w:val="00D47CE4"/>
    <w:rsid w:val="00D559F9"/>
    <w:rsid w:val="00D60A7A"/>
    <w:rsid w:val="00D6608E"/>
    <w:rsid w:val="00D66E90"/>
    <w:rsid w:val="00D75209"/>
    <w:rsid w:val="00DA0753"/>
    <w:rsid w:val="00DA39B8"/>
    <w:rsid w:val="00DC0B7C"/>
    <w:rsid w:val="00DD71E0"/>
    <w:rsid w:val="00DD76B6"/>
    <w:rsid w:val="00E03A92"/>
    <w:rsid w:val="00E34E3D"/>
    <w:rsid w:val="00E36CF7"/>
    <w:rsid w:val="00E509C0"/>
    <w:rsid w:val="00E568C0"/>
    <w:rsid w:val="00E636B2"/>
    <w:rsid w:val="00E702C9"/>
    <w:rsid w:val="00E756D7"/>
    <w:rsid w:val="00E86765"/>
    <w:rsid w:val="00EA1C5E"/>
    <w:rsid w:val="00EA1FD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0F97-772A-44BE-9048-50A22EB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Zimino</cp:lastModifiedBy>
  <cp:revision>59</cp:revision>
  <cp:lastPrinted>2024-01-16T05:16:00Z</cp:lastPrinted>
  <dcterms:created xsi:type="dcterms:W3CDTF">2024-01-12T10:51:00Z</dcterms:created>
  <dcterms:modified xsi:type="dcterms:W3CDTF">2024-01-16T05:17:00Z</dcterms:modified>
</cp:coreProperties>
</file>