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3B3" w:rsidRDefault="009223B3" w:rsidP="00C964E9">
      <w:pPr>
        <w:pStyle w:val="1"/>
        <w:spacing w:before="0" w:after="0"/>
        <w:jc w:val="center"/>
        <w:rPr>
          <w:rFonts w:ascii="Times New Roman" w:hAnsi="Times New Roman"/>
          <w:szCs w:val="28"/>
        </w:rPr>
      </w:pPr>
      <w:bookmarkStart w:id="0" w:name="_Toc420918343"/>
      <w:r>
        <w:rPr>
          <w:rFonts w:ascii="Times New Roman" w:hAnsi="Times New Roman"/>
          <w:szCs w:val="28"/>
        </w:rPr>
        <w:t>И</w:t>
      </w:r>
      <w:r w:rsidR="00C964E9" w:rsidRPr="00157175">
        <w:rPr>
          <w:rFonts w:ascii="Times New Roman" w:hAnsi="Times New Roman"/>
          <w:szCs w:val="28"/>
        </w:rPr>
        <w:t>нвестиционн</w:t>
      </w:r>
      <w:r>
        <w:rPr>
          <w:rFonts w:ascii="Times New Roman" w:hAnsi="Times New Roman"/>
          <w:szCs w:val="28"/>
        </w:rPr>
        <w:t>ая</w:t>
      </w:r>
      <w:r w:rsidR="00C964E9" w:rsidRPr="00157175">
        <w:rPr>
          <w:rFonts w:ascii="Times New Roman" w:hAnsi="Times New Roman"/>
          <w:szCs w:val="28"/>
        </w:rPr>
        <w:t xml:space="preserve"> активност</w:t>
      </w:r>
      <w:r>
        <w:rPr>
          <w:rFonts w:ascii="Times New Roman" w:hAnsi="Times New Roman"/>
          <w:szCs w:val="28"/>
        </w:rPr>
        <w:t xml:space="preserve">ь в Топчихинском районе </w:t>
      </w:r>
      <w:bookmarkEnd w:id="0"/>
    </w:p>
    <w:p w:rsidR="00C964E9" w:rsidRPr="00157175" w:rsidRDefault="009223B3" w:rsidP="00C964E9">
      <w:pPr>
        <w:pStyle w:val="1"/>
        <w:spacing w:before="0" w:after="0"/>
        <w:jc w:val="center"/>
        <w:rPr>
          <w:rFonts w:ascii="Times New Roman" w:hAnsi="Times New Roman"/>
          <w:szCs w:val="28"/>
        </w:rPr>
      </w:pPr>
      <w:r>
        <w:rPr>
          <w:rFonts w:ascii="Times New Roman" w:hAnsi="Times New Roman"/>
          <w:szCs w:val="28"/>
        </w:rPr>
        <w:t xml:space="preserve">за </w:t>
      </w:r>
      <w:r w:rsidR="00032404">
        <w:rPr>
          <w:rFonts w:ascii="Times New Roman" w:hAnsi="Times New Roman"/>
          <w:szCs w:val="28"/>
        </w:rPr>
        <w:t>январь-</w:t>
      </w:r>
      <w:r w:rsidR="00155DB2">
        <w:rPr>
          <w:rFonts w:ascii="Times New Roman" w:hAnsi="Times New Roman"/>
          <w:szCs w:val="28"/>
        </w:rPr>
        <w:t>декабрь</w:t>
      </w:r>
      <w:r w:rsidR="00032404">
        <w:rPr>
          <w:rFonts w:ascii="Times New Roman" w:hAnsi="Times New Roman"/>
          <w:szCs w:val="28"/>
        </w:rPr>
        <w:t xml:space="preserve"> </w:t>
      </w:r>
      <w:r>
        <w:rPr>
          <w:rFonts w:ascii="Times New Roman" w:hAnsi="Times New Roman"/>
          <w:szCs w:val="28"/>
        </w:rPr>
        <w:t>20</w:t>
      </w:r>
      <w:r w:rsidR="00993FF6">
        <w:rPr>
          <w:rFonts w:ascii="Times New Roman" w:hAnsi="Times New Roman"/>
          <w:szCs w:val="28"/>
        </w:rPr>
        <w:t>2</w:t>
      </w:r>
      <w:r w:rsidR="00EE0F74">
        <w:rPr>
          <w:rFonts w:ascii="Times New Roman" w:hAnsi="Times New Roman"/>
          <w:szCs w:val="28"/>
        </w:rPr>
        <w:t>2</w:t>
      </w:r>
      <w:r>
        <w:rPr>
          <w:rFonts w:ascii="Times New Roman" w:hAnsi="Times New Roman"/>
          <w:szCs w:val="28"/>
        </w:rPr>
        <w:t xml:space="preserve"> год</w:t>
      </w:r>
      <w:r w:rsidR="00032404">
        <w:rPr>
          <w:rFonts w:ascii="Times New Roman" w:hAnsi="Times New Roman"/>
          <w:szCs w:val="28"/>
        </w:rPr>
        <w:t>а</w:t>
      </w:r>
    </w:p>
    <w:p w:rsidR="00C964E9" w:rsidRPr="00157175" w:rsidRDefault="00C964E9" w:rsidP="00C964E9">
      <w:pPr>
        <w:spacing w:after="0" w:line="240" w:lineRule="auto"/>
        <w:ind w:firstLine="567"/>
        <w:jc w:val="both"/>
        <w:rPr>
          <w:rFonts w:ascii="Times New Roman" w:hAnsi="Times New Roman" w:cs="Times New Roman"/>
          <w:b/>
          <w:sz w:val="28"/>
          <w:szCs w:val="28"/>
        </w:rPr>
      </w:pPr>
    </w:p>
    <w:p w:rsidR="0086083C" w:rsidRDefault="0086083C" w:rsidP="003567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Общий о</w:t>
      </w:r>
      <w:r w:rsidR="00356788" w:rsidRPr="00157175">
        <w:rPr>
          <w:rFonts w:ascii="Times New Roman" w:hAnsi="Times New Roman" w:cs="Times New Roman"/>
          <w:sz w:val="28"/>
          <w:szCs w:val="28"/>
        </w:rPr>
        <w:t xml:space="preserve">бъем инвестиций в экономику района </w:t>
      </w:r>
      <w:r w:rsidR="00AD4B16">
        <w:rPr>
          <w:rFonts w:ascii="Times New Roman" w:hAnsi="Times New Roman" w:cs="Times New Roman"/>
          <w:sz w:val="28"/>
          <w:szCs w:val="28"/>
        </w:rPr>
        <w:t>за январь-</w:t>
      </w:r>
      <w:r w:rsidR="00155DB2">
        <w:rPr>
          <w:rFonts w:ascii="Times New Roman" w:hAnsi="Times New Roman" w:cs="Times New Roman"/>
          <w:sz w:val="28"/>
          <w:szCs w:val="28"/>
        </w:rPr>
        <w:t>декабрь</w:t>
      </w:r>
      <w:r w:rsidR="002676A6">
        <w:rPr>
          <w:rFonts w:ascii="Times New Roman" w:hAnsi="Times New Roman" w:cs="Times New Roman"/>
          <w:sz w:val="28"/>
          <w:szCs w:val="28"/>
        </w:rPr>
        <w:t xml:space="preserve"> 20</w:t>
      </w:r>
      <w:r w:rsidR="00993FF6">
        <w:rPr>
          <w:rFonts w:ascii="Times New Roman" w:hAnsi="Times New Roman" w:cs="Times New Roman"/>
          <w:sz w:val="28"/>
          <w:szCs w:val="28"/>
        </w:rPr>
        <w:t>2</w:t>
      </w:r>
      <w:r w:rsidR="00EE0F74">
        <w:rPr>
          <w:rFonts w:ascii="Times New Roman" w:hAnsi="Times New Roman" w:cs="Times New Roman"/>
          <w:sz w:val="28"/>
          <w:szCs w:val="28"/>
        </w:rPr>
        <w:t>2</w:t>
      </w:r>
      <w:r w:rsidR="00356788" w:rsidRPr="00157175">
        <w:rPr>
          <w:rFonts w:ascii="Times New Roman" w:hAnsi="Times New Roman" w:cs="Times New Roman"/>
          <w:sz w:val="28"/>
          <w:szCs w:val="28"/>
        </w:rPr>
        <w:t xml:space="preserve"> г</w:t>
      </w:r>
      <w:r>
        <w:rPr>
          <w:rFonts w:ascii="Times New Roman" w:hAnsi="Times New Roman" w:cs="Times New Roman"/>
          <w:sz w:val="28"/>
          <w:szCs w:val="28"/>
        </w:rPr>
        <w:t>ода</w:t>
      </w:r>
      <w:r w:rsidR="00356788" w:rsidRPr="00157175">
        <w:rPr>
          <w:rFonts w:ascii="Times New Roman" w:hAnsi="Times New Roman" w:cs="Times New Roman"/>
          <w:sz w:val="28"/>
          <w:szCs w:val="28"/>
        </w:rPr>
        <w:t xml:space="preserve"> </w:t>
      </w:r>
      <w:r>
        <w:rPr>
          <w:rFonts w:ascii="Times New Roman" w:hAnsi="Times New Roman" w:cs="Times New Roman"/>
          <w:sz w:val="28"/>
          <w:szCs w:val="28"/>
        </w:rPr>
        <w:t xml:space="preserve">составил </w:t>
      </w:r>
      <w:r w:rsidR="00EE0F74">
        <w:rPr>
          <w:rFonts w:ascii="Times New Roman" w:hAnsi="Times New Roman" w:cs="Times New Roman"/>
          <w:sz w:val="28"/>
          <w:szCs w:val="28"/>
        </w:rPr>
        <w:t>1031</w:t>
      </w:r>
      <w:r w:rsidR="00FA53CA">
        <w:rPr>
          <w:rFonts w:ascii="Times New Roman" w:hAnsi="Times New Roman" w:cs="Times New Roman"/>
          <w:sz w:val="28"/>
          <w:szCs w:val="28"/>
        </w:rPr>
        <w:t>,0</w:t>
      </w:r>
      <w:r w:rsidR="00356788" w:rsidRPr="00157175">
        <w:rPr>
          <w:rFonts w:ascii="Times New Roman" w:hAnsi="Times New Roman" w:cs="Times New Roman"/>
          <w:sz w:val="28"/>
          <w:szCs w:val="28"/>
        </w:rPr>
        <w:t xml:space="preserve"> млн. рублей</w:t>
      </w:r>
      <w:r w:rsidR="00007D65">
        <w:rPr>
          <w:rFonts w:ascii="Times New Roman" w:hAnsi="Times New Roman" w:cs="Times New Roman"/>
          <w:sz w:val="28"/>
          <w:szCs w:val="28"/>
        </w:rPr>
        <w:t xml:space="preserve">, </w:t>
      </w:r>
      <w:r w:rsidR="00A3618D">
        <w:rPr>
          <w:rFonts w:ascii="Times New Roman" w:hAnsi="Times New Roman" w:cs="Times New Roman"/>
          <w:sz w:val="28"/>
          <w:szCs w:val="28"/>
        </w:rPr>
        <w:t xml:space="preserve">что на </w:t>
      </w:r>
      <w:r w:rsidR="00EE0F74">
        <w:rPr>
          <w:rFonts w:ascii="Times New Roman" w:hAnsi="Times New Roman" w:cs="Times New Roman"/>
          <w:sz w:val="28"/>
          <w:szCs w:val="28"/>
        </w:rPr>
        <w:t>93</w:t>
      </w:r>
      <w:r w:rsidR="00007D65">
        <w:rPr>
          <w:rFonts w:ascii="Times New Roman" w:hAnsi="Times New Roman" w:cs="Times New Roman"/>
          <w:sz w:val="28"/>
          <w:szCs w:val="28"/>
        </w:rPr>
        <w:t xml:space="preserve">% </w:t>
      </w:r>
      <w:r w:rsidR="00A3618D">
        <w:rPr>
          <w:rFonts w:ascii="Times New Roman" w:hAnsi="Times New Roman" w:cs="Times New Roman"/>
          <w:sz w:val="28"/>
          <w:szCs w:val="28"/>
        </w:rPr>
        <w:t xml:space="preserve">выше уровня </w:t>
      </w:r>
      <w:r w:rsidR="00007D65">
        <w:rPr>
          <w:rFonts w:ascii="Times New Roman" w:hAnsi="Times New Roman" w:cs="Times New Roman"/>
          <w:sz w:val="28"/>
          <w:szCs w:val="28"/>
        </w:rPr>
        <w:t>предыдуще</w:t>
      </w:r>
      <w:r w:rsidR="00A3618D">
        <w:rPr>
          <w:rFonts w:ascii="Times New Roman" w:hAnsi="Times New Roman" w:cs="Times New Roman"/>
          <w:sz w:val="28"/>
          <w:szCs w:val="28"/>
        </w:rPr>
        <w:t>го</w:t>
      </w:r>
      <w:r w:rsidR="00007D65">
        <w:rPr>
          <w:rFonts w:ascii="Times New Roman" w:hAnsi="Times New Roman" w:cs="Times New Roman"/>
          <w:sz w:val="28"/>
          <w:szCs w:val="28"/>
        </w:rPr>
        <w:t xml:space="preserve"> год</w:t>
      </w:r>
      <w:r w:rsidR="00A3618D">
        <w:rPr>
          <w:rFonts w:ascii="Times New Roman" w:hAnsi="Times New Roman" w:cs="Times New Roman"/>
          <w:sz w:val="28"/>
          <w:szCs w:val="28"/>
        </w:rPr>
        <w:t>а</w:t>
      </w:r>
      <w:r w:rsidR="00EE0F74">
        <w:rPr>
          <w:rFonts w:ascii="Times New Roman" w:hAnsi="Times New Roman" w:cs="Times New Roman"/>
          <w:sz w:val="28"/>
          <w:szCs w:val="28"/>
        </w:rPr>
        <w:t>,</w:t>
      </w:r>
      <w:r>
        <w:rPr>
          <w:rFonts w:ascii="Times New Roman" w:hAnsi="Times New Roman" w:cs="Times New Roman"/>
          <w:sz w:val="28"/>
          <w:szCs w:val="28"/>
        </w:rPr>
        <w:t xml:space="preserve"> из них по крупным и средним предприятиям</w:t>
      </w:r>
      <w:r w:rsidR="00A70D3F">
        <w:rPr>
          <w:rFonts w:ascii="Times New Roman" w:hAnsi="Times New Roman" w:cs="Times New Roman"/>
          <w:sz w:val="28"/>
          <w:szCs w:val="28"/>
        </w:rPr>
        <w:t xml:space="preserve"> </w:t>
      </w:r>
      <w:r w:rsidR="00FA53CA">
        <w:rPr>
          <w:rFonts w:ascii="Times New Roman" w:hAnsi="Times New Roman" w:cs="Times New Roman"/>
          <w:sz w:val="28"/>
          <w:szCs w:val="28"/>
        </w:rPr>
        <w:t>–</w:t>
      </w:r>
      <w:r>
        <w:rPr>
          <w:rFonts w:ascii="Times New Roman" w:hAnsi="Times New Roman" w:cs="Times New Roman"/>
          <w:sz w:val="28"/>
          <w:szCs w:val="28"/>
        </w:rPr>
        <w:t xml:space="preserve"> </w:t>
      </w:r>
      <w:r w:rsidR="00EE0F74">
        <w:rPr>
          <w:rFonts w:ascii="Times New Roman" w:hAnsi="Times New Roman" w:cs="Times New Roman"/>
          <w:sz w:val="28"/>
          <w:szCs w:val="28"/>
        </w:rPr>
        <w:t>754,47</w:t>
      </w:r>
      <w:r>
        <w:rPr>
          <w:rFonts w:ascii="Times New Roman" w:hAnsi="Times New Roman" w:cs="Times New Roman"/>
          <w:sz w:val="28"/>
          <w:szCs w:val="28"/>
        </w:rPr>
        <w:t xml:space="preserve"> млн. рублей</w:t>
      </w:r>
      <w:r w:rsidR="00511305">
        <w:rPr>
          <w:rFonts w:ascii="Times New Roman" w:hAnsi="Times New Roman" w:cs="Times New Roman"/>
          <w:sz w:val="28"/>
          <w:szCs w:val="28"/>
        </w:rPr>
        <w:t xml:space="preserve">, </w:t>
      </w:r>
      <w:r w:rsidR="00511305" w:rsidRPr="00741576">
        <w:rPr>
          <w:rFonts w:ascii="Times New Roman" w:hAnsi="Times New Roman" w:cs="Times New Roman"/>
          <w:sz w:val="28"/>
          <w:szCs w:val="28"/>
        </w:rPr>
        <w:t xml:space="preserve">что </w:t>
      </w:r>
      <w:r w:rsidR="00250CDF" w:rsidRPr="00741576">
        <w:rPr>
          <w:rFonts w:ascii="Times New Roman" w:hAnsi="Times New Roman" w:cs="Times New Roman"/>
          <w:sz w:val="28"/>
          <w:szCs w:val="28"/>
        </w:rPr>
        <w:t xml:space="preserve">на </w:t>
      </w:r>
      <w:r w:rsidR="00EE0F74">
        <w:rPr>
          <w:rFonts w:ascii="Times New Roman" w:hAnsi="Times New Roman" w:cs="Times New Roman"/>
          <w:sz w:val="28"/>
          <w:szCs w:val="28"/>
        </w:rPr>
        <w:t>90</w:t>
      </w:r>
      <w:r w:rsidR="00250CDF" w:rsidRPr="00741576">
        <w:rPr>
          <w:rFonts w:ascii="Times New Roman" w:hAnsi="Times New Roman" w:cs="Times New Roman"/>
          <w:sz w:val="28"/>
          <w:szCs w:val="28"/>
        </w:rPr>
        <w:t xml:space="preserve"> % </w:t>
      </w:r>
      <w:r w:rsidR="00EE0F74">
        <w:rPr>
          <w:rFonts w:ascii="Times New Roman" w:hAnsi="Times New Roman" w:cs="Times New Roman"/>
          <w:sz w:val="28"/>
          <w:szCs w:val="28"/>
        </w:rPr>
        <w:t>выше</w:t>
      </w:r>
      <w:r w:rsidR="00741576" w:rsidRPr="00741576">
        <w:rPr>
          <w:rFonts w:ascii="Times New Roman" w:hAnsi="Times New Roman" w:cs="Times New Roman"/>
          <w:sz w:val="28"/>
          <w:szCs w:val="28"/>
        </w:rPr>
        <w:t xml:space="preserve"> уровня 202</w:t>
      </w:r>
      <w:r w:rsidR="00EE0F74">
        <w:rPr>
          <w:rFonts w:ascii="Times New Roman" w:hAnsi="Times New Roman" w:cs="Times New Roman"/>
          <w:sz w:val="28"/>
          <w:szCs w:val="28"/>
        </w:rPr>
        <w:t>1</w:t>
      </w:r>
      <w:r w:rsidR="00F25E46" w:rsidRPr="00741576">
        <w:rPr>
          <w:rFonts w:ascii="Times New Roman" w:hAnsi="Times New Roman" w:cs="Times New Roman"/>
          <w:sz w:val="28"/>
          <w:szCs w:val="28"/>
        </w:rPr>
        <w:t xml:space="preserve"> </w:t>
      </w:r>
      <w:r w:rsidR="00F25E46">
        <w:rPr>
          <w:rFonts w:ascii="Times New Roman" w:hAnsi="Times New Roman" w:cs="Times New Roman"/>
          <w:sz w:val="28"/>
          <w:szCs w:val="28"/>
        </w:rPr>
        <w:t>года</w:t>
      </w:r>
      <w:r w:rsidR="00EE0F74">
        <w:rPr>
          <w:rFonts w:ascii="Times New Roman" w:hAnsi="Times New Roman" w:cs="Times New Roman"/>
          <w:sz w:val="28"/>
          <w:szCs w:val="28"/>
        </w:rPr>
        <w:t xml:space="preserve"> (в сопоставимых ценах – 159,6\ </w:t>
      </w:r>
      <w:r w:rsidR="00007D65">
        <w:rPr>
          <w:rFonts w:ascii="Times New Roman" w:hAnsi="Times New Roman" w:cs="Times New Roman"/>
          <w:sz w:val="28"/>
          <w:szCs w:val="28"/>
        </w:rPr>
        <w:t>%)</w:t>
      </w:r>
      <w:r w:rsidR="00F25E46">
        <w:rPr>
          <w:rFonts w:ascii="Times New Roman" w:hAnsi="Times New Roman" w:cs="Times New Roman"/>
          <w:sz w:val="28"/>
          <w:szCs w:val="28"/>
        </w:rPr>
        <w:t>.</w:t>
      </w:r>
      <w:r w:rsidR="00356788" w:rsidRPr="00157175">
        <w:rPr>
          <w:rFonts w:ascii="Times New Roman" w:hAnsi="Times New Roman" w:cs="Times New Roman"/>
          <w:sz w:val="28"/>
          <w:szCs w:val="28"/>
        </w:rPr>
        <w:t xml:space="preserve"> </w:t>
      </w:r>
    </w:p>
    <w:p w:rsidR="00ED0536" w:rsidRDefault="00720A5F" w:rsidP="003567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структуре инвестиций по источникам </w:t>
      </w:r>
      <w:r w:rsidR="00F25E46">
        <w:rPr>
          <w:rFonts w:ascii="Times New Roman" w:hAnsi="Times New Roman" w:cs="Times New Roman"/>
          <w:sz w:val="28"/>
          <w:szCs w:val="28"/>
        </w:rPr>
        <w:t>финансирования</w:t>
      </w:r>
      <w:r>
        <w:rPr>
          <w:rFonts w:ascii="Times New Roman" w:hAnsi="Times New Roman" w:cs="Times New Roman"/>
          <w:sz w:val="28"/>
          <w:szCs w:val="28"/>
        </w:rPr>
        <w:t xml:space="preserve"> (по кругу крупных и средних предприятий) преобладают собственные средства</w:t>
      </w:r>
      <w:r w:rsidR="00F25E46">
        <w:rPr>
          <w:rFonts w:ascii="Times New Roman" w:hAnsi="Times New Roman" w:cs="Times New Roman"/>
          <w:sz w:val="28"/>
          <w:szCs w:val="28"/>
        </w:rPr>
        <w:t xml:space="preserve"> </w:t>
      </w:r>
      <w:r w:rsidR="00007D65">
        <w:rPr>
          <w:rFonts w:ascii="Times New Roman" w:hAnsi="Times New Roman" w:cs="Times New Roman"/>
          <w:sz w:val="28"/>
          <w:szCs w:val="28"/>
        </w:rPr>
        <w:t>–</w:t>
      </w:r>
      <w:r w:rsidR="00F25E46">
        <w:rPr>
          <w:rFonts w:ascii="Times New Roman" w:hAnsi="Times New Roman" w:cs="Times New Roman"/>
          <w:sz w:val="28"/>
          <w:szCs w:val="28"/>
        </w:rPr>
        <w:t xml:space="preserve"> </w:t>
      </w:r>
      <w:r w:rsidR="00EE0F74">
        <w:rPr>
          <w:rFonts w:ascii="Times New Roman" w:hAnsi="Times New Roman" w:cs="Times New Roman"/>
          <w:sz w:val="28"/>
          <w:szCs w:val="28"/>
        </w:rPr>
        <w:t>60,9</w:t>
      </w:r>
      <w:r w:rsidR="00F25E46">
        <w:rPr>
          <w:rFonts w:ascii="Times New Roman" w:hAnsi="Times New Roman" w:cs="Times New Roman"/>
          <w:sz w:val="28"/>
          <w:szCs w:val="28"/>
        </w:rPr>
        <w:t xml:space="preserve"> % или </w:t>
      </w:r>
      <w:r w:rsidR="00EE0F74">
        <w:rPr>
          <w:rFonts w:ascii="Times New Roman" w:hAnsi="Times New Roman" w:cs="Times New Roman"/>
          <w:sz w:val="28"/>
          <w:szCs w:val="28"/>
        </w:rPr>
        <w:t>459,36</w:t>
      </w:r>
      <w:r w:rsidR="006072E0">
        <w:rPr>
          <w:rFonts w:ascii="Times New Roman" w:hAnsi="Times New Roman" w:cs="Times New Roman"/>
          <w:sz w:val="28"/>
          <w:szCs w:val="28"/>
        </w:rPr>
        <w:t>93</w:t>
      </w:r>
      <w:r w:rsidR="00F25E46">
        <w:rPr>
          <w:rFonts w:ascii="Times New Roman" w:hAnsi="Times New Roman" w:cs="Times New Roman"/>
          <w:sz w:val="28"/>
          <w:szCs w:val="28"/>
        </w:rPr>
        <w:t xml:space="preserve"> млн. рублей</w:t>
      </w:r>
      <w:r w:rsidR="009F3027">
        <w:rPr>
          <w:rFonts w:ascii="Times New Roman" w:hAnsi="Times New Roman" w:cs="Times New Roman"/>
          <w:sz w:val="28"/>
          <w:szCs w:val="28"/>
        </w:rPr>
        <w:t xml:space="preserve">. </w:t>
      </w:r>
      <w:r w:rsidR="00F25E46">
        <w:rPr>
          <w:rFonts w:ascii="Times New Roman" w:hAnsi="Times New Roman" w:cs="Times New Roman"/>
          <w:sz w:val="28"/>
          <w:szCs w:val="28"/>
        </w:rPr>
        <w:t xml:space="preserve">  </w:t>
      </w:r>
    </w:p>
    <w:p w:rsidR="003947A0" w:rsidRPr="005F56EB" w:rsidRDefault="003947A0" w:rsidP="00356788">
      <w:pPr>
        <w:spacing w:after="0" w:line="240" w:lineRule="auto"/>
        <w:ind w:firstLine="709"/>
        <w:jc w:val="both"/>
        <w:rPr>
          <w:rFonts w:ascii="Times New Roman" w:hAnsi="Times New Roman" w:cs="Times New Roman"/>
          <w:sz w:val="16"/>
          <w:szCs w:val="16"/>
        </w:rPr>
      </w:pPr>
    </w:p>
    <w:p w:rsidR="003947A0" w:rsidRPr="00F01D6C" w:rsidRDefault="003947A0" w:rsidP="003947A0">
      <w:pPr>
        <w:spacing w:after="0" w:line="240" w:lineRule="auto"/>
        <w:jc w:val="center"/>
        <w:rPr>
          <w:rFonts w:ascii="Times New Roman" w:hAnsi="Times New Roman" w:cs="Times New Roman"/>
          <w:b/>
          <w:i/>
          <w:sz w:val="28"/>
          <w:szCs w:val="28"/>
        </w:rPr>
      </w:pPr>
      <w:r w:rsidRPr="00F01D6C">
        <w:rPr>
          <w:rFonts w:ascii="Times New Roman" w:hAnsi="Times New Roman" w:cs="Times New Roman"/>
          <w:b/>
          <w:i/>
          <w:sz w:val="28"/>
          <w:szCs w:val="28"/>
        </w:rPr>
        <w:t>Структура источников финансирования инвестиций</w:t>
      </w:r>
    </w:p>
    <w:p w:rsidR="003947A0" w:rsidRPr="00F01D6C" w:rsidRDefault="003947A0" w:rsidP="003947A0">
      <w:pPr>
        <w:spacing w:after="0" w:line="240" w:lineRule="auto"/>
        <w:jc w:val="center"/>
        <w:rPr>
          <w:rFonts w:ascii="Times New Roman" w:hAnsi="Times New Roman" w:cs="Times New Roman"/>
          <w:b/>
          <w:i/>
          <w:sz w:val="28"/>
          <w:szCs w:val="28"/>
        </w:rPr>
      </w:pPr>
      <w:r w:rsidRPr="00F01D6C">
        <w:rPr>
          <w:rFonts w:ascii="Times New Roman" w:hAnsi="Times New Roman" w:cs="Times New Roman"/>
          <w:b/>
          <w:i/>
          <w:sz w:val="28"/>
          <w:szCs w:val="28"/>
        </w:rPr>
        <w:t xml:space="preserve"> крупных и средних предприятий</w:t>
      </w:r>
      <w:r w:rsidR="00C15B4B" w:rsidRPr="00F01D6C">
        <w:rPr>
          <w:rFonts w:ascii="Times New Roman" w:hAnsi="Times New Roman" w:cs="Times New Roman"/>
          <w:b/>
          <w:i/>
          <w:sz w:val="28"/>
          <w:szCs w:val="28"/>
        </w:rPr>
        <w:t>, млн. руб.</w:t>
      </w:r>
    </w:p>
    <w:p w:rsidR="003947A0" w:rsidRDefault="003947A0" w:rsidP="00356788">
      <w:pPr>
        <w:spacing w:after="0" w:line="240" w:lineRule="auto"/>
        <w:ind w:firstLine="709"/>
        <w:jc w:val="both"/>
        <w:rPr>
          <w:rFonts w:ascii="Times New Roman" w:hAnsi="Times New Roman" w:cs="Times New Roman"/>
          <w:sz w:val="28"/>
          <w:szCs w:val="28"/>
        </w:rPr>
      </w:pPr>
    </w:p>
    <w:p w:rsidR="00720A5F" w:rsidRDefault="00ED0536" w:rsidP="00ED0536">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11505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720A5F">
        <w:rPr>
          <w:rFonts w:ascii="Times New Roman" w:hAnsi="Times New Roman" w:cs="Times New Roman"/>
          <w:sz w:val="28"/>
          <w:szCs w:val="28"/>
        </w:rPr>
        <w:t xml:space="preserve">  </w:t>
      </w:r>
    </w:p>
    <w:p w:rsidR="00A70D3F" w:rsidRPr="005F56EB" w:rsidRDefault="00A70D3F" w:rsidP="00356788">
      <w:pPr>
        <w:spacing w:after="0" w:line="240" w:lineRule="auto"/>
        <w:ind w:firstLine="709"/>
        <w:jc w:val="both"/>
        <w:rPr>
          <w:rFonts w:ascii="Times New Roman" w:hAnsi="Times New Roman" w:cs="Times New Roman"/>
          <w:sz w:val="16"/>
          <w:szCs w:val="16"/>
        </w:rPr>
      </w:pPr>
    </w:p>
    <w:p w:rsidR="009B6C0F" w:rsidRDefault="004A7240" w:rsidP="003567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126334">
        <w:rPr>
          <w:rFonts w:ascii="Times New Roman" w:hAnsi="Times New Roman" w:cs="Times New Roman"/>
          <w:sz w:val="28"/>
          <w:szCs w:val="28"/>
        </w:rPr>
        <w:t xml:space="preserve"> объеме инвестиций за счет привлеченных средств </w:t>
      </w:r>
      <w:r w:rsidR="007552F3">
        <w:rPr>
          <w:rFonts w:ascii="Times New Roman" w:hAnsi="Times New Roman" w:cs="Times New Roman"/>
          <w:sz w:val="28"/>
          <w:szCs w:val="28"/>
        </w:rPr>
        <w:t xml:space="preserve">по крупным и средним предприятиям инвестиции </w:t>
      </w:r>
      <w:r w:rsidR="00ED310F">
        <w:rPr>
          <w:rFonts w:ascii="Times New Roman" w:hAnsi="Times New Roman" w:cs="Times New Roman"/>
          <w:sz w:val="28"/>
          <w:szCs w:val="28"/>
        </w:rPr>
        <w:t xml:space="preserve">за счет </w:t>
      </w:r>
      <w:r w:rsidR="00FA53CA">
        <w:rPr>
          <w:rFonts w:ascii="Times New Roman" w:hAnsi="Times New Roman" w:cs="Times New Roman"/>
          <w:sz w:val="28"/>
          <w:szCs w:val="28"/>
        </w:rPr>
        <w:t xml:space="preserve">средств бюджетов всех уровней </w:t>
      </w:r>
      <w:r w:rsidR="00EE0F74">
        <w:rPr>
          <w:rFonts w:ascii="Times New Roman" w:hAnsi="Times New Roman" w:cs="Times New Roman"/>
          <w:sz w:val="28"/>
          <w:szCs w:val="28"/>
        </w:rPr>
        <w:t>составляют 18,4</w:t>
      </w:r>
      <w:r w:rsidR="00FA53CA">
        <w:rPr>
          <w:rFonts w:ascii="Times New Roman" w:hAnsi="Times New Roman" w:cs="Times New Roman"/>
          <w:sz w:val="28"/>
          <w:szCs w:val="28"/>
        </w:rPr>
        <w:t>% (</w:t>
      </w:r>
      <w:r w:rsidR="000877B4">
        <w:rPr>
          <w:rFonts w:ascii="Times New Roman" w:hAnsi="Times New Roman" w:cs="Times New Roman"/>
          <w:sz w:val="28"/>
          <w:szCs w:val="28"/>
        </w:rPr>
        <w:t>1</w:t>
      </w:r>
      <w:r w:rsidR="00EE0F74">
        <w:rPr>
          <w:rFonts w:ascii="Times New Roman" w:hAnsi="Times New Roman" w:cs="Times New Roman"/>
          <w:sz w:val="28"/>
          <w:szCs w:val="28"/>
        </w:rPr>
        <w:t>38,95</w:t>
      </w:r>
      <w:r w:rsidR="00FA53CA">
        <w:rPr>
          <w:rFonts w:ascii="Times New Roman" w:hAnsi="Times New Roman" w:cs="Times New Roman"/>
          <w:sz w:val="28"/>
          <w:szCs w:val="28"/>
        </w:rPr>
        <w:t xml:space="preserve"> млн. руб.)</w:t>
      </w:r>
      <w:r>
        <w:rPr>
          <w:rFonts w:ascii="Times New Roman" w:hAnsi="Times New Roman" w:cs="Times New Roman"/>
          <w:sz w:val="28"/>
          <w:szCs w:val="28"/>
        </w:rPr>
        <w:t xml:space="preserve">. </w:t>
      </w:r>
      <w:r w:rsidR="00FA53CA">
        <w:rPr>
          <w:rFonts w:ascii="Times New Roman" w:hAnsi="Times New Roman" w:cs="Times New Roman"/>
          <w:sz w:val="28"/>
          <w:szCs w:val="28"/>
        </w:rPr>
        <w:t xml:space="preserve">В </w:t>
      </w:r>
      <w:r w:rsidR="009132B6">
        <w:rPr>
          <w:rFonts w:ascii="Times New Roman" w:hAnsi="Times New Roman" w:cs="Times New Roman"/>
          <w:sz w:val="28"/>
          <w:szCs w:val="28"/>
        </w:rPr>
        <w:t>январе-</w:t>
      </w:r>
      <w:r w:rsidR="00957A33">
        <w:rPr>
          <w:rFonts w:ascii="Times New Roman" w:hAnsi="Times New Roman" w:cs="Times New Roman"/>
          <w:sz w:val="28"/>
          <w:szCs w:val="28"/>
        </w:rPr>
        <w:t xml:space="preserve">декабре </w:t>
      </w:r>
      <w:r w:rsidR="009132B6">
        <w:rPr>
          <w:rFonts w:ascii="Times New Roman" w:hAnsi="Times New Roman" w:cs="Times New Roman"/>
          <w:sz w:val="28"/>
          <w:szCs w:val="28"/>
        </w:rPr>
        <w:t>20</w:t>
      </w:r>
      <w:r w:rsidR="000877B4">
        <w:rPr>
          <w:rFonts w:ascii="Times New Roman" w:hAnsi="Times New Roman" w:cs="Times New Roman"/>
          <w:sz w:val="28"/>
          <w:szCs w:val="28"/>
        </w:rPr>
        <w:t>2</w:t>
      </w:r>
      <w:r w:rsidR="00EE0F74">
        <w:rPr>
          <w:rFonts w:ascii="Times New Roman" w:hAnsi="Times New Roman" w:cs="Times New Roman"/>
          <w:sz w:val="28"/>
          <w:szCs w:val="28"/>
        </w:rPr>
        <w:t>2</w:t>
      </w:r>
      <w:r w:rsidR="009132B6">
        <w:rPr>
          <w:rFonts w:ascii="Times New Roman" w:hAnsi="Times New Roman" w:cs="Times New Roman"/>
          <w:sz w:val="28"/>
          <w:szCs w:val="28"/>
        </w:rPr>
        <w:t xml:space="preserve"> года по отно</w:t>
      </w:r>
      <w:r w:rsidR="000877B4">
        <w:rPr>
          <w:rFonts w:ascii="Times New Roman" w:hAnsi="Times New Roman" w:cs="Times New Roman"/>
          <w:sz w:val="28"/>
          <w:szCs w:val="28"/>
        </w:rPr>
        <w:t>шению к аналогичному периоду 202</w:t>
      </w:r>
      <w:r w:rsidR="00EE0F74">
        <w:rPr>
          <w:rFonts w:ascii="Times New Roman" w:hAnsi="Times New Roman" w:cs="Times New Roman"/>
          <w:sz w:val="28"/>
          <w:szCs w:val="28"/>
        </w:rPr>
        <w:t>1</w:t>
      </w:r>
      <w:r w:rsidR="009132B6">
        <w:rPr>
          <w:rFonts w:ascii="Times New Roman" w:hAnsi="Times New Roman" w:cs="Times New Roman"/>
          <w:sz w:val="28"/>
          <w:szCs w:val="28"/>
        </w:rPr>
        <w:t xml:space="preserve"> года </w:t>
      </w:r>
      <w:r w:rsidR="001C2475">
        <w:rPr>
          <w:rFonts w:ascii="Times New Roman" w:hAnsi="Times New Roman" w:cs="Times New Roman"/>
          <w:sz w:val="28"/>
          <w:szCs w:val="28"/>
        </w:rPr>
        <w:t>в общем объеме инвестиций по крупным и средним предприятиям</w:t>
      </w:r>
      <w:r w:rsidR="00596EC5" w:rsidRPr="00596EC5">
        <w:rPr>
          <w:rFonts w:ascii="Times New Roman" w:hAnsi="Times New Roman" w:cs="Times New Roman"/>
          <w:sz w:val="28"/>
          <w:szCs w:val="28"/>
        </w:rPr>
        <w:t xml:space="preserve"> </w:t>
      </w:r>
      <w:r w:rsidR="00596EC5">
        <w:rPr>
          <w:rFonts w:ascii="Times New Roman" w:hAnsi="Times New Roman" w:cs="Times New Roman"/>
          <w:sz w:val="28"/>
          <w:szCs w:val="28"/>
        </w:rPr>
        <w:t xml:space="preserve">наблюдается </w:t>
      </w:r>
      <w:r w:rsidR="00007D65">
        <w:rPr>
          <w:rFonts w:ascii="Times New Roman" w:hAnsi="Times New Roman" w:cs="Times New Roman"/>
          <w:sz w:val="28"/>
          <w:szCs w:val="28"/>
        </w:rPr>
        <w:t>у</w:t>
      </w:r>
      <w:r w:rsidR="00EE0F74">
        <w:rPr>
          <w:rFonts w:ascii="Times New Roman" w:hAnsi="Times New Roman" w:cs="Times New Roman"/>
          <w:sz w:val="28"/>
          <w:szCs w:val="28"/>
        </w:rPr>
        <w:t>меньшение</w:t>
      </w:r>
      <w:r w:rsidR="001C2475">
        <w:rPr>
          <w:rFonts w:ascii="Times New Roman" w:hAnsi="Times New Roman" w:cs="Times New Roman"/>
          <w:sz w:val="28"/>
          <w:szCs w:val="28"/>
        </w:rPr>
        <w:t xml:space="preserve"> </w:t>
      </w:r>
      <w:r w:rsidR="007552F3">
        <w:rPr>
          <w:rFonts w:ascii="Times New Roman" w:hAnsi="Times New Roman" w:cs="Times New Roman"/>
          <w:sz w:val="28"/>
          <w:szCs w:val="28"/>
        </w:rPr>
        <w:t>удельн</w:t>
      </w:r>
      <w:r w:rsidR="00D379EB">
        <w:rPr>
          <w:rFonts w:ascii="Times New Roman" w:hAnsi="Times New Roman" w:cs="Times New Roman"/>
          <w:sz w:val="28"/>
          <w:szCs w:val="28"/>
        </w:rPr>
        <w:t xml:space="preserve">ого </w:t>
      </w:r>
      <w:r w:rsidR="007552F3">
        <w:rPr>
          <w:rFonts w:ascii="Times New Roman" w:hAnsi="Times New Roman" w:cs="Times New Roman"/>
          <w:sz w:val="28"/>
          <w:szCs w:val="28"/>
        </w:rPr>
        <w:t>вес</w:t>
      </w:r>
      <w:r w:rsidR="00D379EB">
        <w:rPr>
          <w:rFonts w:ascii="Times New Roman" w:hAnsi="Times New Roman" w:cs="Times New Roman"/>
          <w:sz w:val="28"/>
          <w:szCs w:val="28"/>
        </w:rPr>
        <w:t>а</w:t>
      </w:r>
      <w:r w:rsidR="007552F3">
        <w:rPr>
          <w:rFonts w:ascii="Times New Roman" w:hAnsi="Times New Roman" w:cs="Times New Roman"/>
          <w:sz w:val="28"/>
          <w:szCs w:val="28"/>
        </w:rPr>
        <w:t xml:space="preserve"> </w:t>
      </w:r>
      <w:r w:rsidR="00ED310F">
        <w:rPr>
          <w:rFonts w:ascii="Times New Roman" w:hAnsi="Times New Roman" w:cs="Times New Roman"/>
          <w:sz w:val="28"/>
          <w:szCs w:val="28"/>
        </w:rPr>
        <w:t xml:space="preserve">бюджетных </w:t>
      </w:r>
      <w:r w:rsidR="007552F3">
        <w:rPr>
          <w:rFonts w:ascii="Times New Roman" w:hAnsi="Times New Roman" w:cs="Times New Roman"/>
          <w:sz w:val="28"/>
          <w:szCs w:val="28"/>
        </w:rPr>
        <w:t xml:space="preserve">инвестиций с </w:t>
      </w:r>
      <w:r w:rsidR="000877B4">
        <w:rPr>
          <w:rFonts w:ascii="Times New Roman" w:hAnsi="Times New Roman" w:cs="Times New Roman"/>
          <w:sz w:val="28"/>
          <w:szCs w:val="28"/>
        </w:rPr>
        <w:t>3</w:t>
      </w:r>
      <w:r w:rsidR="00EE0F74">
        <w:rPr>
          <w:rFonts w:ascii="Times New Roman" w:hAnsi="Times New Roman" w:cs="Times New Roman"/>
          <w:sz w:val="28"/>
          <w:szCs w:val="28"/>
        </w:rPr>
        <w:t>6,5</w:t>
      </w:r>
      <w:r w:rsidR="008E1BD4">
        <w:rPr>
          <w:rFonts w:ascii="Times New Roman" w:hAnsi="Times New Roman" w:cs="Times New Roman"/>
          <w:sz w:val="28"/>
          <w:szCs w:val="28"/>
        </w:rPr>
        <w:t xml:space="preserve"> </w:t>
      </w:r>
      <w:r w:rsidR="001C2475">
        <w:rPr>
          <w:rFonts w:ascii="Times New Roman" w:hAnsi="Times New Roman" w:cs="Times New Roman"/>
          <w:sz w:val="28"/>
          <w:szCs w:val="28"/>
        </w:rPr>
        <w:t xml:space="preserve">% до </w:t>
      </w:r>
      <w:r w:rsidR="00EE0F74">
        <w:rPr>
          <w:rFonts w:ascii="Times New Roman" w:hAnsi="Times New Roman" w:cs="Times New Roman"/>
          <w:sz w:val="28"/>
          <w:szCs w:val="28"/>
        </w:rPr>
        <w:t>18,4</w:t>
      </w:r>
      <w:r w:rsidR="00250CDF">
        <w:rPr>
          <w:rFonts w:ascii="Times New Roman" w:hAnsi="Times New Roman" w:cs="Times New Roman"/>
          <w:sz w:val="28"/>
          <w:szCs w:val="28"/>
        </w:rPr>
        <w:t xml:space="preserve"> </w:t>
      </w:r>
      <w:r w:rsidR="001C2475">
        <w:rPr>
          <w:rFonts w:ascii="Times New Roman" w:hAnsi="Times New Roman" w:cs="Times New Roman"/>
          <w:sz w:val="28"/>
          <w:szCs w:val="28"/>
        </w:rPr>
        <w:t>%</w:t>
      </w:r>
      <w:r w:rsidR="00596EC5">
        <w:rPr>
          <w:rFonts w:ascii="Times New Roman" w:hAnsi="Times New Roman" w:cs="Times New Roman"/>
          <w:sz w:val="28"/>
          <w:szCs w:val="28"/>
        </w:rPr>
        <w:t xml:space="preserve"> и</w:t>
      </w:r>
      <w:r w:rsidR="001C2475">
        <w:rPr>
          <w:rFonts w:ascii="Times New Roman" w:hAnsi="Times New Roman" w:cs="Times New Roman"/>
          <w:sz w:val="28"/>
          <w:szCs w:val="28"/>
        </w:rPr>
        <w:t xml:space="preserve"> </w:t>
      </w:r>
      <w:r w:rsidR="0096779F">
        <w:rPr>
          <w:rFonts w:ascii="Times New Roman" w:hAnsi="Times New Roman" w:cs="Times New Roman"/>
          <w:sz w:val="28"/>
          <w:szCs w:val="28"/>
        </w:rPr>
        <w:t>у</w:t>
      </w:r>
      <w:r w:rsidR="000877B4">
        <w:rPr>
          <w:rFonts w:ascii="Times New Roman" w:hAnsi="Times New Roman" w:cs="Times New Roman"/>
          <w:sz w:val="28"/>
          <w:szCs w:val="28"/>
        </w:rPr>
        <w:t>величение</w:t>
      </w:r>
      <w:r w:rsidR="000005D1">
        <w:rPr>
          <w:rFonts w:ascii="Times New Roman" w:hAnsi="Times New Roman" w:cs="Times New Roman"/>
          <w:sz w:val="28"/>
          <w:szCs w:val="28"/>
        </w:rPr>
        <w:t xml:space="preserve"> </w:t>
      </w:r>
      <w:r w:rsidR="001C2475">
        <w:rPr>
          <w:rFonts w:ascii="Times New Roman" w:hAnsi="Times New Roman" w:cs="Times New Roman"/>
          <w:sz w:val="28"/>
          <w:szCs w:val="28"/>
        </w:rPr>
        <w:t xml:space="preserve">инвестиций за счет </w:t>
      </w:r>
      <w:r w:rsidR="00C70B05">
        <w:rPr>
          <w:rFonts w:ascii="Times New Roman" w:hAnsi="Times New Roman" w:cs="Times New Roman"/>
          <w:sz w:val="28"/>
          <w:szCs w:val="28"/>
        </w:rPr>
        <w:t>местного и федерального бюджетов.</w:t>
      </w:r>
      <w:r w:rsidR="007552F3">
        <w:rPr>
          <w:rFonts w:ascii="Times New Roman" w:hAnsi="Times New Roman" w:cs="Times New Roman"/>
          <w:sz w:val="28"/>
          <w:szCs w:val="28"/>
        </w:rPr>
        <w:t xml:space="preserve"> </w:t>
      </w:r>
    </w:p>
    <w:p w:rsidR="00CC2A32" w:rsidRDefault="00356788" w:rsidP="00D92DA4">
      <w:pPr>
        <w:spacing w:after="0" w:line="240" w:lineRule="auto"/>
        <w:ind w:firstLine="709"/>
        <w:jc w:val="both"/>
        <w:rPr>
          <w:rFonts w:ascii="Times New Roman" w:hAnsi="Times New Roman" w:cs="Times New Roman"/>
          <w:sz w:val="28"/>
          <w:szCs w:val="28"/>
        </w:rPr>
      </w:pPr>
      <w:r w:rsidRPr="00157175">
        <w:rPr>
          <w:rFonts w:ascii="Times New Roman" w:hAnsi="Times New Roman" w:cs="Times New Roman"/>
          <w:sz w:val="28"/>
          <w:szCs w:val="28"/>
        </w:rPr>
        <w:t>В видовой структу</w:t>
      </w:r>
      <w:r>
        <w:rPr>
          <w:rFonts w:ascii="Times New Roman" w:hAnsi="Times New Roman" w:cs="Times New Roman"/>
          <w:sz w:val="28"/>
          <w:szCs w:val="28"/>
        </w:rPr>
        <w:t xml:space="preserve">ре </w:t>
      </w:r>
      <w:r w:rsidR="009B6C0F">
        <w:rPr>
          <w:rFonts w:ascii="Times New Roman" w:hAnsi="Times New Roman" w:cs="Times New Roman"/>
          <w:sz w:val="28"/>
          <w:szCs w:val="28"/>
        </w:rPr>
        <w:t xml:space="preserve">инвестиций </w:t>
      </w:r>
      <w:r>
        <w:rPr>
          <w:rFonts w:ascii="Times New Roman" w:hAnsi="Times New Roman" w:cs="Times New Roman"/>
          <w:sz w:val="28"/>
          <w:szCs w:val="28"/>
        </w:rPr>
        <w:t xml:space="preserve">наибольшую долю </w:t>
      </w:r>
      <w:r w:rsidR="009B6C0F">
        <w:rPr>
          <w:rFonts w:ascii="Times New Roman" w:hAnsi="Times New Roman" w:cs="Times New Roman"/>
          <w:sz w:val="28"/>
          <w:szCs w:val="28"/>
        </w:rPr>
        <w:t xml:space="preserve">составляют вложения в </w:t>
      </w:r>
      <w:r w:rsidRPr="00157175">
        <w:rPr>
          <w:rFonts w:ascii="Times New Roman" w:hAnsi="Times New Roman" w:cs="Times New Roman"/>
          <w:sz w:val="28"/>
          <w:szCs w:val="28"/>
        </w:rPr>
        <w:t>машины</w:t>
      </w:r>
      <w:r w:rsidR="00B62967">
        <w:rPr>
          <w:rFonts w:ascii="Times New Roman" w:hAnsi="Times New Roman" w:cs="Times New Roman"/>
          <w:sz w:val="28"/>
          <w:szCs w:val="28"/>
        </w:rPr>
        <w:t xml:space="preserve"> и</w:t>
      </w:r>
      <w:r w:rsidRPr="00157175">
        <w:rPr>
          <w:rFonts w:ascii="Times New Roman" w:hAnsi="Times New Roman" w:cs="Times New Roman"/>
          <w:sz w:val="28"/>
          <w:szCs w:val="28"/>
        </w:rPr>
        <w:t xml:space="preserve"> оборудование</w:t>
      </w:r>
      <w:r w:rsidR="00944DA0">
        <w:rPr>
          <w:rFonts w:ascii="Times New Roman" w:hAnsi="Times New Roman" w:cs="Times New Roman"/>
          <w:sz w:val="28"/>
          <w:szCs w:val="28"/>
        </w:rPr>
        <w:t xml:space="preserve"> </w:t>
      </w:r>
      <w:r w:rsidR="00C70B05">
        <w:rPr>
          <w:rFonts w:ascii="Times New Roman" w:hAnsi="Times New Roman" w:cs="Times New Roman"/>
          <w:sz w:val="28"/>
          <w:szCs w:val="28"/>
        </w:rPr>
        <w:t>53,1</w:t>
      </w:r>
      <w:r w:rsidR="00050DF9">
        <w:rPr>
          <w:rFonts w:ascii="Times New Roman" w:hAnsi="Times New Roman" w:cs="Times New Roman"/>
          <w:sz w:val="28"/>
          <w:szCs w:val="28"/>
        </w:rPr>
        <w:t xml:space="preserve"> </w:t>
      </w:r>
      <w:r w:rsidR="009B6C0F">
        <w:rPr>
          <w:rFonts w:ascii="Times New Roman" w:hAnsi="Times New Roman" w:cs="Times New Roman"/>
          <w:sz w:val="28"/>
          <w:szCs w:val="28"/>
        </w:rPr>
        <w:t>%</w:t>
      </w:r>
      <w:r w:rsidRPr="00157175">
        <w:rPr>
          <w:rFonts w:ascii="Times New Roman" w:hAnsi="Times New Roman" w:cs="Times New Roman"/>
          <w:sz w:val="28"/>
          <w:szCs w:val="28"/>
        </w:rPr>
        <w:t xml:space="preserve"> (</w:t>
      </w:r>
      <w:r w:rsidR="00C70B05">
        <w:rPr>
          <w:rFonts w:ascii="Times New Roman" w:hAnsi="Times New Roman" w:cs="Times New Roman"/>
          <w:sz w:val="28"/>
          <w:szCs w:val="28"/>
        </w:rPr>
        <w:t>400,76</w:t>
      </w:r>
      <w:r>
        <w:rPr>
          <w:rFonts w:ascii="Times New Roman" w:hAnsi="Times New Roman" w:cs="Times New Roman"/>
          <w:sz w:val="28"/>
          <w:szCs w:val="28"/>
        </w:rPr>
        <w:t xml:space="preserve"> млн. рублей)</w:t>
      </w:r>
      <w:r w:rsidR="00B62967">
        <w:rPr>
          <w:rFonts w:ascii="Times New Roman" w:hAnsi="Times New Roman" w:cs="Times New Roman"/>
          <w:sz w:val="28"/>
          <w:szCs w:val="28"/>
        </w:rPr>
        <w:t>.</w:t>
      </w:r>
      <w:r w:rsidR="00C70B05">
        <w:rPr>
          <w:rFonts w:ascii="Times New Roman" w:hAnsi="Times New Roman" w:cs="Times New Roman"/>
          <w:sz w:val="28"/>
          <w:szCs w:val="28"/>
        </w:rPr>
        <w:t xml:space="preserve"> И</w:t>
      </w:r>
      <w:r w:rsidR="00EB3CC7" w:rsidRPr="00592F98">
        <w:rPr>
          <w:rFonts w:ascii="Times New Roman" w:hAnsi="Times New Roman" w:cs="Times New Roman"/>
          <w:sz w:val="28"/>
          <w:szCs w:val="28"/>
        </w:rPr>
        <w:t>нвестици</w:t>
      </w:r>
      <w:r w:rsidR="00C70B05">
        <w:rPr>
          <w:rFonts w:ascii="Times New Roman" w:hAnsi="Times New Roman" w:cs="Times New Roman"/>
          <w:sz w:val="28"/>
          <w:szCs w:val="28"/>
        </w:rPr>
        <w:t>и</w:t>
      </w:r>
      <w:r w:rsidR="00EB3CC7" w:rsidRPr="00592F98">
        <w:rPr>
          <w:rFonts w:ascii="Times New Roman" w:hAnsi="Times New Roman" w:cs="Times New Roman"/>
          <w:sz w:val="28"/>
          <w:szCs w:val="28"/>
        </w:rPr>
        <w:t xml:space="preserve"> </w:t>
      </w:r>
      <w:r w:rsidR="00523E55" w:rsidRPr="00592F98">
        <w:rPr>
          <w:rFonts w:ascii="Times New Roman" w:hAnsi="Times New Roman" w:cs="Times New Roman"/>
          <w:sz w:val="28"/>
          <w:szCs w:val="28"/>
        </w:rPr>
        <w:t xml:space="preserve">в </w:t>
      </w:r>
      <w:r w:rsidR="002750D9" w:rsidRPr="00592F98">
        <w:rPr>
          <w:rFonts w:ascii="Times New Roman" w:hAnsi="Times New Roman" w:cs="Times New Roman"/>
          <w:sz w:val="28"/>
          <w:szCs w:val="28"/>
        </w:rPr>
        <w:t xml:space="preserve">здания и </w:t>
      </w:r>
      <w:r w:rsidR="008E1BD4" w:rsidRPr="00592F98">
        <w:rPr>
          <w:rFonts w:ascii="Times New Roman" w:hAnsi="Times New Roman" w:cs="Times New Roman"/>
          <w:sz w:val="28"/>
          <w:szCs w:val="28"/>
        </w:rPr>
        <w:t>сооружения</w:t>
      </w:r>
      <w:r w:rsidR="004420A5">
        <w:rPr>
          <w:rFonts w:ascii="Times New Roman" w:hAnsi="Times New Roman" w:cs="Times New Roman"/>
          <w:sz w:val="28"/>
          <w:szCs w:val="28"/>
        </w:rPr>
        <w:t xml:space="preserve"> составил</w:t>
      </w:r>
      <w:r w:rsidR="00C70B05">
        <w:rPr>
          <w:rFonts w:ascii="Times New Roman" w:hAnsi="Times New Roman" w:cs="Times New Roman"/>
          <w:sz w:val="28"/>
          <w:szCs w:val="28"/>
        </w:rPr>
        <w:t>и 161,3 млн. руб. или 21,4 % общего объема инвестиций. И</w:t>
      </w:r>
      <w:r w:rsidR="000005D1" w:rsidRPr="00592F98">
        <w:rPr>
          <w:rFonts w:ascii="Times New Roman" w:hAnsi="Times New Roman" w:cs="Times New Roman"/>
          <w:sz w:val="28"/>
          <w:szCs w:val="28"/>
        </w:rPr>
        <w:t>нвестици</w:t>
      </w:r>
      <w:r w:rsidR="00C70B05">
        <w:rPr>
          <w:rFonts w:ascii="Times New Roman" w:hAnsi="Times New Roman" w:cs="Times New Roman"/>
          <w:sz w:val="28"/>
          <w:szCs w:val="28"/>
        </w:rPr>
        <w:t>и</w:t>
      </w:r>
      <w:r w:rsidR="000005D1" w:rsidRPr="00592F98">
        <w:rPr>
          <w:rFonts w:ascii="Times New Roman" w:hAnsi="Times New Roman" w:cs="Times New Roman"/>
          <w:sz w:val="28"/>
          <w:szCs w:val="28"/>
        </w:rPr>
        <w:t xml:space="preserve"> в транспортные средства </w:t>
      </w:r>
      <w:r w:rsidR="00C70B05">
        <w:rPr>
          <w:rFonts w:ascii="Times New Roman" w:hAnsi="Times New Roman" w:cs="Times New Roman"/>
          <w:sz w:val="28"/>
          <w:szCs w:val="28"/>
        </w:rPr>
        <w:t xml:space="preserve">увеличились более чем в 3 раза и </w:t>
      </w:r>
      <w:r w:rsidR="000005D1" w:rsidRPr="00592F98">
        <w:rPr>
          <w:rFonts w:ascii="Times New Roman" w:hAnsi="Times New Roman" w:cs="Times New Roman"/>
          <w:sz w:val="28"/>
          <w:szCs w:val="28"/>
        </w:rPr>
        <w:t>составил</w:t>
      </w:r>
      <w:r w:rsidR="00C70B05">
        <w:rPr>
          <w:rFonts w:ascii="Times New Roman" w:hAnsi="Times New Roman" w:cs="Times New Roman"/>
          <w:sz w:val="28"/>
          <w:szCs w:val="28"/>
        </w:rPr>
        <w:t>и 112,7 млн. руб.</w:t>
      </w:r>
      <w:r w:rsidR="000005D1">
        <w:rPr>
          <w:rFonts w:ascii="Times New Roman" w:hAnsi="Times New Roman" w:cs="Times New Roman"/>
          <w:sz w:val="28"/>
          <w:szCs w:val="28"/>
        </w:rPr>
        <w:t xml:space="preserve"> </w:t>
      </w:r>
      <w:r w:rsidR="00661F24">
        <w:rPr>
          <w:rFonts w:ascii="Times New Roman" w:hAnsi="Times New Roman" w:cs="Times New Roman"/>
          <w:sz w:val="28"/>
          <w:szCs w:val="28"/>
        </w:rPr>
        <w:t>Инвестиции в жилищное строительство</w:t>
      </w:r>
      <w:r w:rsidR="002750D9">
        <w:rPr>
          <w:rFonts w:ascii="Times New Roman" w:hAnsi="Times New Roman" w:cs="Times New Roman"/>
          <w:sz w:val="28"/>
          <w:szCs w:val="28"/>
        </w:rPr>
        <w:t xml:space="preserve"> по крупным и средним предприятиям</w:t>
      </w:r>
      <w:r w:rsidR="00661F24">
        <w:rPr>
          <w:rFonts w:ascii="Times New Roman" w:hAnsi="Times New Roman" w:cs="Times New Roman"/>
          <w:sz w:val="28"/>
          <w:szCs w:val="28"/>
        </w:rPr>
        <w:t xml:space="preserve"> отсутствуют. </w:t>
      </w:r>
    </w:p>
    <w:p w:rsidR="00FF4CAF" w:rsidRDefault="00661F24" w:rsidP="00661F24">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6105525" cy="37528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00D25" w:rsidRDefault="005C4AE4" w:rsidP="008266C6">
      <w:pPr>
        <w:spacing w:after="0" w:line="240" w:lineRule="auto"/>
        <w:ind w:firstLine="709"/>
        <w:jc w:val="both"/>
        <w:rPr>
          <w:rFonts w:ascii="Times New Roman" w:hAnsi="Times New Roman" w:cs="Times New Roman"/>
          <w:color w:val="000000" w:themeColor="text1"/>
          <w:sz w:val="28"/>
          <w:szCs w:val="28"/>
        </w:rPr>
      </w:pPr>
      <w:r w:rsidRPr="00294405">
        <w:rPr>
          <w:rFonts w:ascii="Times New Roman" w:hAnsi="Times New Roman" w:cs="Times New Roman"/>
          <w:color w:val="000000" w:themeColor="text1"/>
          <w:sz w:val="28"/>
          <w:szCs w:val="28"/>
        </w:rPr>
        <w:t xml:space="preserve">За </w:t>
      </w:r>
      <w:r w:rsidR="00F66A0A" w:rsidRPr="00294405">
        <w:rPr>
          <w:rFonts w:ascii="Times New Roman" w:hAnsi="Times New Roman" w:cs="Times New Roman"/>
          <w:color w:val="000000" w:themeColor="text1"/>
          <w:sz w:val="28"/>
          <w:szCs w:val="28"/>
        </w:rPr>
        <w:t>январь-</w:t>
      </w:r>
      <w:r w:rsidR="006C7DD9" w:rsidRPr="00294405">
        <w:rPr>
          <w:rFonts w:ascii="Times New Roman" w:hAnsi="Times New Roman" w:cs="Times New Roman"/>
          <w:color w:val="000000" w:themeColor="text1"/>
          <w:sz w:val="28"/>
          <w:szCs w:val="28"/>
        </w:rPr>
        <w:t>декабрь</w:t>
      </w:r>
      <w:r w:rsidR="00F66A0A" w:rsidRPr="00294405">
        <w:rPr>
          <w:rFonts w:ascii="Times New Roman" w:hAnsi="Times New Roman" w:cs="Times New Roman"/>
          <w:color w:val="000000" w:themeColor="text1"/>
          <w:sz w:val="28"/>
          <w:szCs w:val="28"/>
        </w:rPr>
        <w:t xml:space="preserve"> </w:t>
      </w:r>
      <w:r w:rsidRPr="00294405">
        <w:rPr>
          <w:rFonts w:ascii="Times New Roman" w:hAnsi="Times New Roman" w:cs="Times New Roman"/>
          <w:color w:val="000000" w:themeColor="text1"/>
          <w:sz w:val="28"/>
          <w:szCs w:val="28"/>
        </w:rPr>
        <w:t>20</w:t>
      </w:r>
      <w:r w:rsidR="0096779F" w:rsidRPr="00294405">
        <w:rPr>
          <w:rFonts w:ascii="Times New Roman" w:hAnsi="Times New Roman" w:cs="Times New Roman"/>
          <w:color w:val="000000" w:themeColor="text1"/>
          <w:sz w:val="28"/>
          <w:szCs w:val="28"/>
        </w:rPr>
        <w:t>2</w:t>
      </w:r>
      <w:r w:rsidR="0044361F">
        <w:rPr>
          <w:rFonts w:ascii="Times New Roman" w:hAnsi="Times New Roman" w:cs="Times New Roman"/>
          <w:color w:val="000000" w:themeColor="text1"/>
          <w:sz w:val="28"/>
          <w:szCs w:val="28"/>
        </w:rPr>
        <w:t>2</w:t>
      </w:r>
      <w:r w:rsidR="007552F3" w:rsidRPr="00294405">
        <w:rPr>
          <w:rFonts w:ascii="Times New Roman" w:hAnsi="Times New Roman" w:cs="Times New Roman"/>
          <w:color w:val="000000" w:themeColor="text1"/>
          <w:sz w:val="28"/>
          <w:szCs w:val="28"/>
        </w:rPr>
        <w:t xml:space="preserve"> год</w:t>
      </w:r>
      <w:r w:rsidR="00F66A0A" w:rsidRPr="00294405">
        <w:rPr>
          <w:rFonts w:ascii="Times New Roman" w:hAnsi="Times New Roman" w:cs="Times New Roman"/>
          <w:color w:val="000000" w:themeColor="text1"/>
          <w:sz w:val="28"/>
          <w:szCs w:val="28"/>
        </w:rPr>
        <w:t>а</w:t>
      </w:r>
      <w:r w:rsidR="0044361F">
        <w:rPr>
          <w:rFonts w:ascii="Times New Roman" w:hAnsi="Times New Roman" w:cs="Times New Roman"/>
          <w:color w:val="000000" w:themeColor="text1"/>
          <w:sz w:val="28"/>
          <w:szCs w:val="28"/>
        </w:rPr>
        <w:t xml:space="preserve"> ввод в действие общей площади жилых домов составил 1233 кв. м жилья, что на 7,7 % выше уровня прошлого года, при </w:t>
      </w:r>
      <w:proofErr w:type="gramStart"/>
      <w:r w:rsidR="0044361F">
        <w:rPr>
          <w:rFonts w:ascii="Times New Roman" w:hAnsi="Times New Roman" w:cs="Times New Roman"/>
          <w:color w:val="000000" w:themeColor="text1"/>
          <w:sz w:val="28"/>
          <w:szCs w:val="28"/>
        </w:rPr>
        <w:t xml:space="preserve">этом </w:t>
      </w:r>
      <w:r w:rsidRPr="00294405">
        <w:rPr>
          <w:rFonts w:ascii="Times New Roman" w:hAnsi="Times New Roman" w:cs="Times New Roman"/>
          <w:color w:val="000000" w:themeColor="text1"/>
          <w:sz w:val="28"/>
          <w:szCs w:val="28"/>
        </w:rPr>
        <w:t xml:space="preserve"> </w:t>
      </w:r>
      <w:r w:rsidR="00D44FD7" w:rsidRPr="00294405">
        <w:rPr>
          <w:rFonts w:ascii="Times New Roman" w:hAnsi="Times New Roman" w:cs="Times New Roman"/>
          <w:color w:val="000000" w:themeColor="text1"/>
          <w:sz w:val="28"/>
          <w:szCs w:val="28"/>
        </w:rPr>
        <w:t>индивидуальными</w:t>
      </w:r>
      <w:proofErr w:type="gramEnd"/>
      <w:r w:rsidR="00D44FD7" w:rsidRPr="00294405">
        <w:rPr>
          <w:rFonts w:ascii="Times New Roman" w:hAnsi="Times New Roman" w:cs="Times New Roman"/>
          <w:color w:val="000000" w:themeColor="text1"/>
          <w:sz w:val="28"/>
          <w:szCs w:val="28"/>
        </w:rPr>
        <w:t xml:space="preserve"> застройщиками </w:t>
      </w:r>
      <w:r w:rsidRPr="00294405">
        <w:rPr>
          <w:rFonts w:ascii="Times New Roman" w:hAnsi="Times New Roman" w:cs="Times New Roman"/>
          <w:color w:val="000000" w:themeColor="text1"/>
          <w:sz w:val="28"/>
          <w:szCs w:val="28"/>
        </w:rPr>
        <w:t xml:space="preserve">введено в действие </w:t>
      </w:r>
      <w:r w:rsidR="0044361F">
        <w:rPr>
          <w:rFonts w:ascii="Times New Roman" w:hAnsi="Times New Roman" w:cs="Times New Roman"/>
          <w:color w:val="000000" w:themeColor="text1"/>
          <w:sz w:val="28"/>
          <w:szCs w:val="28"/>
        </w:rPr>
        <w:t>1009</w:t>
      </w:r>
      <w:r w:rsidRPr="00294405">
        <w:rPr>
          <w:rFonts w:ascii="Times New Roman" w:hAnsi="Times New Roman" w:cs="Times New Roman"/>
          <w:color w:val="000000" w:themeColor="text1"/>
          <w:sz w:val="28"/>
          <w:szCs w:val="28"/>
        </w:rPr>
        <w:t xml:space="preserve"> кв. м жилья (</w:t>
      </w:r>
      <w:r w:rsidR="005F156F" w:rsidRPr="00294405">
        <w:rPr>
          <w:rFonts w:ascii="Times New Roman" w:hAnsi="Times New Roman" w:cs="Times New Roman"/>
          <w:color w:val="000000" w:themeColor="text1"/>
          <w:sz w:val="28"/>
          <w:szCs w:val="28"/>
        </w:rPr>
        <w:t>ниже</w:t>
      </w:r>
      <w:r w:rsidR="00261FBE" w:rsidRPr="00294405">
        <w:rPr>
          <w:rFonts w:ascii="Times New Roman" w:hAnsi="Times New Roman" w:cs="Times New Roman"/>
          <w:color w:val="000000" w:themeColor="text1"/>
          <w:sz w:val="28"/>
          <w:szCs w:val="28"/>
        </w:rPr>
        <w:t xml:space="preserve"> на </w:t>
      </w:r>
      <w:r w:rsidR="00294405" w:rsidRPr="00294405">
        <w:rPr>
          <w:rFonts w:ascii="Times New Roman" w:hAnsi="Times New Roman" w:cs="Times New Roman"/>
          <w:color w:val="000000" w:themeColor="text1"/>
          <w:sz w:val="28"/>
          <w:szCs w:val="28"/>
        </w:rPr>
        <w:t>11,</w:t>
      </w:r>
      <w:r w:rsidR="0044361F">
        <w:rPr>
          <w:rFonts w:ascii="Times New Roman" w:hAnsi="Times New Roman" w:cs="Times New Roman"/>
          <w:color w:val="000000" w:themeColor="text1"/>
          <w:sz w:val="28"/>
          <w:szCs w:val="28"/>
        </w:rPr>
        <w:t>9</w:t>
      </w:r>
      <w:r w:rsidR="00250CDF" w:rsidRPr="00294405">
        <w:rPr>
          <w:rFonts w:ascii="Times New Roman" w:hAnsi="Times New Roman" w:cs="Times New Roman"/>
          <w:color w:val="000000" w:themeColor="text1"/>
          <w:sz w:val="28"/>
          <w:szCs w:val="28"/>
        </w:rPr>
        <w:t xml:space="preserve"> </w:t>
      </w:r>
      <w:r w:rsidR="00436B59" w:rsidRPr="00294405">
        <w:rPr>
          <w:rFonts w:ascii="Times New Roman" w:hAnsi="Times New Roman" w:cs="Times New Roman"/>
          <w:color w:val="000000" w:themeColor="text1"/>
          <w:sz w:val="28"/>
          <w:szCs w:val="28"/>
        </w:rPr>
        <w:t xml:space="preserve">% к уровню </w:t>
      </w:r>
      <w:r w:rsidR="00923567" w:rsidRPr="00294405">
        <w:rPr>
          <w:rFonts w:ascii="Times New Roman" w:hAnsi="Times New Roman" w:cs="Times New Roman"/>
          <w:color w:val="000000" w:themeColor="text1"/>
          <w:sz w:val="28"/>
          <w:szCs w:val="28"/>
        </w:rPr>
        <w:t>20</w:t>
      </w:r>
      <w:r w:rsidR="00294405" w:rsidRPr="00294405">
        <w:rPr>
          <w:rFonts w:ascii="Times New Roman" w:hAnsi="Times New Roman" w:cs="Times New Roman"/>
          <w:color w:val="000000" w:themeColor="text1"/>
          <w:sz w:val="28"/>
          <w:szCs w:val="28"/>
        </w:rPr>
        <w:t>2</w:t>
      </w:r>
      <w:r w:rsidR="0044361F">
        <w:rPr>
          <w:rFonts w:ascii="Times New Roman" w:hAnsi="Times New Roman" w:cs="Times New Roman"/>
          <w:color w:val="000000" w:themeColor="text1"/>
          <w:sz w:val="28"/>
          <w:szCs w:val="28"/>
        </w:rPr>
        <w:t>1</w:t>
      </w:r>
      <w:r w:rsidRPr="00294405">
        <w:rPr>
          <w:rFonts w:ascii="Times New Roman" w:hAnsi="Times New Roman" w:cs="Times New Roman"/>
          <w:color w:val="000000" w:themeColor="text1"/>
          <w:sz w:val="28"/>
          <w:szCs w:val="28"/>
        </w:rPr>
        <w:t xml:space="preserve"> г</w:t>
      </w:r>
      <w:r w:rsidR="00F20E69" w:rsidRPr="00294405">
        <w:rPr>
          <w:rFonts w:ascii="Times New Roman" w:hAnsi="Times New Roman" w:cs="Times New Roman"/>
          <w:color w:val="000000" w:themeColor="text1"/>
          <w:sz w:val="28"/>
          <w:szCs w:val="28"/>
        </w:rPr>
        <w:t>од</w:t>
      </w:r>
      <w:r w:rsidR="007338CE" w:rsidRPr="00294405">
        <w:rPr>
          <w:rFonts w:ascii="Times New Roman" w:hAnsi="Times New Roman" w:cs="Times New Roman"/>
          <w:color w:val="000000" w:themeColor="text1"/>
          <w:sz w:val="28"/>
          <w:szCs w:val="28"/>
        </w:rPr>
        <w:t>а</w:t>
      </w:r>
      <w:r w:rsidRPr="00294405">
        <w:rPr>
          <w:rFonts w:ascii="Times New Roman" w:hAnsi="Times New Roman" w:cs="Times New Roman"/>
          <w:color w:val="000000" w:themeColor="text1"/>
          <w:sz w:val="28"/>
          <w:szCs w:val="28"/>
        </w:rPr>
        <w:t>)</w:t>
      </w:r>
      <w:r w:rsidR="00D44FD7" w:rsidRPr="00294405">
        <w:rPr>
          <w:rFonts w:ascii="Times New Roman" w:hAnsi="Times New Roman" w:cs="Times New Roman"/>
          <w:color w:val="000000" w:themeColor="text1"/>
          <w:sz w:val="28"/>
          <w:szCs w:val="28"/>
        </w:rPr>
        <w:t xml:space="preserve">. </w:t>
      </w:r>
    </w:p>
    <w:p w:rsidR="0044361F" w:rsidRPr="0044361F" w:rsidRDefault="0044361F" w:rsidP="0044361F">
      <w:pPr>
        <w:spacing w:after="0" w:line="240" w:lineRule="auto"/>
        <w:ind w:firstLine="709"/>
        <w:jc w:val="both"/>
        <w:rPr>
          <w:rFonts w:ascii="Times New Roman" w:hAnsi="Times New Roman" w:cs="Times New Roman"/>
          <w:sz w:val="28"/>
          <w:szCs w:val="28"/>
        </w:rPr>
      </w:pPr>
      <w:r w:rsidRPr="0044361F">
        <w:rPr>
          <w:rFonts w:ascii="Times New Roman" w:hAnsi="Times New Roman" w:cs="Times New Roman"/>
          <w:sz w:val="28"/>
          <w:szCs w:val="28"/>
        </w:rPr>
        <w:t>Субъектами малого предпринимательства привлечено инвестиций в размере 277 млн. рублей. В числе внебюджетных инвестиционных проектов, реализуемых в 2022 году: строительство магазина в с. Топчиха, приобретение сельскохозяйственной техники, машин, оборудования крестьянскими (фермерскими) хозяйствами и сельскохозяйственными предприятиями района.</w:t>
      </w:r>
    </w:p>
    <w:p w:rsidR="0044361F" w:rsidRPr="0044361F" w:rsidRDefault="0044361F" w:rsidP="0044361F">
      <w:pPr>
        <w:spacing w:after="0" w:line="240" w:lineRule="auto"/>
        <w:ind w:firstLine="709"/>
        <w:jc w:val="both"/>
        <w:rPr>
          <w:rFonts w:ascii="Times New Roman" w:hAnsi="Times New Roman" w:cs="Times New Roman"/>
          <w:sz w:val="28"/>
          <w:szCs w:val="28"/>
        </w:rPr>
      </w:pPr>
      <w:r w:rsidRPr="0044361F">
        <w:rPr>
          <w:rFonts w:ascii="Times New Roman" w:hAnsi="Times New Roman" w:cs="Times New Roman"/>
          <w:sz w:val="28"/>
          <w:szCs w:val="28"/>
        </w:rPr>
        <w:t xml:space="preserve">В рамках национального проекта «Демография» завершилось строительство 2 этажного детского ясли-сада на 140 мест со своей </w:t>
      </w:r>
      <w:proofErr w:type="spellStart"/>
      <w:r w:rsidRPr="0044361F">
        <w:rPr>
          <w:rFonts w:ascii="Times New Roman" w:hAnsi="Times New Roman" w:cs="Times New Roman"/>
          <w:sz w:val="28"/>
          <w:szCs w:val="28"/>
        </w:rPr>
        <w:t>блочно</w:t>
      </w:r>
      <w:proofErr w:type="spellEnd"/>
      <w:r w:rsidRPr="0044361F">
        <w:rPr>
          <w:rFonts w:ascii="Times New Roman" w:hAnsi="Times New Roman" w:cs="Times New Roman"/>
          <w:sz w:val="28"/>
          <w:szCs w:val="28"/>
        </w:rPr>
        <w:t xml:space="preserve">-модульной угольной котельной, 4-мя современными уличными игровыми и спортивными площадками с искусственным газонным покрытием, благоустроенной территорией с озеленением, а также необходимыми мерами безопасности. По окончании лицензирования в августе 2022 года детский ясли-сад заработал на полную мощность. Стоимость проекта, включая оборудование, составила 185 млн. руб., в </w:t>
      </w:r>
      <w:proofErr w:type="spellStart"/>
      <w:r w:rsidRPr="0044361F">
        <w:rPr>
          <w:rFonts w:ascii="Times New Roman" w:hAnsi="Times New Roman" w:cs="Times New Roman"/>
          <w:sz w:val="28"/>
          <w:szCs w:val="28"/>
        </w:rPr>
        <w:t>т.ч</w:t>
      </w:r>
      <w:proofErr w:type="spellEnd"/>
      <w:r w:rsidRPr="0044361F">
        <w:rPr>
          <w:rFonts w:ascii="Times New Roman" w:hAnsi="Times New Roman" w:cs="Times New Roman"/>
          <w:sz w:val="28"/>
          <w:szCs w:val="28"/>
        </w:rPr>
        <w:t>. 116 млн. руб. средства федерального бюджета, 68 млн. руб. – средства краевого бюджета, 3 млн. руб. – средства районного бюджета.</w:t>
      </w:r>
    </w:p>
    <w:p w:rsidR="0044361F" w:rsidRPr="0044361F" w:rsidRDefault="0044361F" w:rsidP="0044361F">
      <w:pPr>
        <w:spacing w:after="0" w:line="240" w:lineRule="auto"/>
        <w:ind w:firstLine="709"/>
        <w:jc w:val="both"/>
        <w:rPr>
          <w:rFonts w:ascii="Times New Roman" w:hAnsi="Times New Roman" w:cs="Times New Roman"/>
          <w:sz w:val="28"/>
          <w:szCs w:val="28"/>
        </w:rPr>
      </w:pPr>
      <w:r w:rsidRPr="0044361F">
        <w:rPr>
          <w:rFonts w:ascii="Times New Roman" w:hAnsi="Times New Roman" w:cs="Times New Roman"/>
          <w:sz w:val="28"/>
          <w:szCs w:val="28"/>
        </w:rPr>
        <w:t xml:space="preserve">За счет бюджетных средств в 2022 году в рамках реализации мероприятий государственной программы Алтайского края «Создание условий для устойчивого исполнения бюджетов муниципальных образований и повышения эффективности бюджетных расходов в Алтайском крае» (проекты поддержки местных инициатив) обустроены 4 спортивных объекта в с. Сидоровка, с. Топчиха, с. Фунтики, с. </w:t>
      </w:r>
      <w:proofErr w:type="spellStart"/>
      <w:r w:rsidRPr="0044361F">
        <w:rPr>
          <w:rFonts w:ascii="Times New Roman" w:hAnsi="Times New Roman" w:cs="Times New Roman"/>
          <w:sz w:val="28"/>
          <w:szCs w:val="28"/>
        </w:rPr>
        <w:t>Чистюнька</w:t>
      </w:r>
      <w:proofErr w:type="spellEnd"/>
      <w:r w:rsidRPr="0044361F">
        <w:rPr>
          <w:rFonts w:ascii="Times New Roman" w:hAnsi="Times New Roman" w:cs="Times New Roman"/>
          <w:sz w:val="28"/>
          <w:szCs w:val="28"/>
        </w:rPr>
        <w:t xml:space="preserve">, появились новые детские площадки в с. </w:t>
      </w:r>
      <w:proofErr w:type="spellStart"/>
      <w:r w:rsidRPr="0044361F">
        <w:rPr>
          <w:rFonts w:ascii="Times New Roman" w:hAnsi="Times New Roman" w:cs="Times New Roman"/>
          <w:sz w:val="28"/>
          <w:szCs w:val="28"/>
        </w:rPr>
        <w:t>Белояровка</w:t>
      </w:r>
      <w:proofErr w:type="spellEnd"/>
      <w:r w:rsidRPr="0044361F">
        <w:rPr>
          <w:rFonts w:ascii="Times New Roman" w:hAnsi="Times New Roman" w:cs="Times New Roman"/>
          <w:sz w:val="28"/>
          <w:szCs w:val="28"/>
        </w:rPr>
        <w:t>, п. Дружба. На 2023 год планируется к реализации еще 10 проектов.</w:t>
      </w:r>
    </w:p>
    <w:p w:rsidR="0044361F" w:rsidRPr="0044361F" w:rsidRDefault="0044361F" w:rsidP="0044361F">
      <w:pPr>
        <w:spacing w:after="0" w:line="240" w:lineRule="auto"/>
        <w:ind w:firstLine="709"/>
        <w:jc w:val="both"/>
        <w:rPr>
          <w:rFonts w:ascii="Times New Roman" w:hAnsi="Times New Roman" w:cs="Times New Roman"/>
          <w:sz w:val="28"/>
          <w:szCs w:val="28"/>
        </w:rPr>
      </w:pPr>
      <w:r w:rsidRPr="0044361F">
        <w:rPr>
          <w:rFonts w:ascii="Times New Roman" w:hAnsi="Times New Roman" w:cs="Times New Roman"/>
          <w:sz w:val="28"/>
          <w:szCs w:val="28"/>
        </w:rPr>
        <w:lastRenderedPageBreak/>
        <w:t xml:space="preserve">В рамках государственной программы «Формирование комфортной городской среды» в 2022 году благоустроен сельский парк в с. Фунтики. Отремонтированы пешеходные дорожки, соединяющие зону детской и спортивной площадок с мемориалом, установлены малые архитектурные формы, выполнено освещение, озеленение. На эти цели выделено 3,4 млн. руб., в </w:t>
      </w:r>
      <w:proofErr w:type="spellStart"/>
      <w:r w:rsidRPr="0044361F">
        <w:rPr>
          <w:rFonts w:ascii="Times New Roman" w:hAnsi="Times New Roman" w:cs="Times New Roman"/>
          <w:sz w:val="28"/>
          <w:szCs w:val="28"/>
        </w:rPr>
        <w:t>т.ч</w:t>
      </w:r>
      <w:proofErr w:type="spellEnd"/>
      <w:r w:rsidRPr="0044361F">
        <w:rPr>
          <w:rFonts w:ascii="Times New Roman" w:hAnsi="Times New Roman" w:cs="Times New Roman"/>
          <w:sz w:val="28"/>
          <w:szCs w:val="28"/>
        </w:rPr>
        <w:t xml:space="preserve">. 3 млн. руб. краевая субсидия. Следующий сельский парк будет благоустроен в 2023 году в с. </w:t>
      </w:r>
      <w:proofErr w:type="spellStart"/>
      <w:r w:rsidRPr="0044361F">
        <w:rPr>
          <w:rFonts w:ascii="Times New Roman" w:hAnsi="Times New Roman" w:cs="Times New Roman"/>
          <w:sz w:val="28"/>
          <w:szCs w:val="28"/>
        </w:rPr>
        <w:t>Парфёново</w:t>
      </w:r>
      <w:proofErr w:type="spellEnd"/>
      <w:r w:rsidRPr="0044361F">
        <w:rPr>
          <w:rFonts w:ascii="Times New Roman" w:hAnsi="Times New Roman" w:cs="Times New Roman"/>
          <w:sz w:val="28"/>
          <w:szCs w:val="28"/>
        </w:rPr>
        <w:t xml:space="preserve"> на территории, прилегающей к зданию сельского Дома культуры.</w:t>
      </w:r>
    </w:p>
    <w:p w:rsidR="0044361F" w:rsidRPr="0044361F" w:rsidRDefault="0044361F" w:rsidP="0044361F">
      <w:pPr>
        <w:spacing w:after="0" w:line="240" w:lineRule="auto"/>
        <w:ind w:firstLine="709"/>
        <w:jc w:val="both"/>
        <w:rPr>
          <w:rFonts w:ascii="Times New Roman" w:hAnsi="Times New Roman" w:cs="Times New Roman"/>
          <w:sz w:val="28"/>
          <w:szCs w:val="28"/>
        </w:rPr>
      </w:pPr>
      <w:r w:rsidRPr="0044361F">
        <w:rPr>
          <w:rFonts w:ascii="Times New Roman" w:hAnsi="Times New Roman" w:cs="Times New Roman"/>
          <w:sz w:val="28"/>
          <w:szCs w:val="28"/>
        </w:rPr>
        <w:t>В 2022 году продолжена реализация национального проекта «Жилье и городская среда», по которому закончено обустройство сельского парка в с. Топчиха - обновлены брусчатка, территория фонтана, закончено озеленение и освещение, установлены малые архитектурные формы. Субсидия из краевого бюджета составила 4 млн. руб.</w:t>
      </w:r>
    </w:p>
    <w:p w:rsidR="0044361F" w:rsidRPr="0044361F" w:rsidRDefault="0044361F" w:rsidP="0044361F">
      <w:pPr>
        <w:spacing w:after="0" w:line="240" w:lineRule="auto"/>
        <w:ind w:firstLine="709"/>
        <w:jc w:val="both"/>
        <w:rPr>
          <w:rFonts w:ascii="Times New Roman" w:hAnsi="Times New Roman" w:cs="Times New Roman"/>
          <w:sz w:val="28"/>
          <w:szCs w:val="28"/>
        </w:rPr>
      </w:pPr>
      <w:r w:rsidRPr="0044361F">
        <w:rPr>
          <w:rFonts w:ascii="Times New Roman" w:hAnsi="Times New Roman" w:cs="Times New Roman"/>
          <w:sz w:val="28"/>
          <w:szCs w:val="28"/>
        </w:rPr>
        <w:t>В 2022 году продолжено строительство на территории райцентра новой угольной автоматизированной котельной. Дата ввода в эксплуатацию - август 2023 года. Общая стоимость строительства с учетом подключения к сетям электроснабжения составляет 178,7 млн. руб.</w:t>
      </w:r>
    </w:p>
    <w:p w:rsidR="0044361F" w:rsidRPr="0044361F" w:rsidRDefault="0044361F" w:rsidP="0044361F">
      <w:pPr>
        <w:spacing w:after="0" w:line="240" w:lineRule="auto"/>
        <w:ind w:firstLine="709"/>
        <w:jc w:val="both"/>
        <w:rPr>
          <w:rFonts w:ascii="Times New Roman" w:hAnsi="Times New Roman" w:cs="Times New Roman"/>
          <w:sz w:val="28"/>
          <w:szCs w:val="28"/>
        </w:rPr>
      </w:pPr>
      <w:r w:rsidRPr="0044361F">
        <w:rPr>
          <w:rFonts w:ascii="Times New Roman" w:hAnsi="Times New Roman" w:cs="Times New Roman"/>
          <w:sz w:val="28"/>
          <w:szCs w:val="28"/>
        </w:rPr>
        <w:t>Завершено начатое в 2020 году проектирование реконструкции теплосети в с. Топчиха, протяженностью 1,79 км, соединяющей новую котельную с магистральной сетью. Конкурсные процедуры проведены, контракт заключен 14.03.2023, стоимость строительства - 218 млн. руб.</w:t>
      </w:r>
    </w:p>
    <w:p w:rsidR="0044361F" w:rsidRPr="0044361F" w:rsidRDefault="0044361F" w:rsidP="0044361F">
      <w:pPr>
        <w:spacing w:after="0" w:line="240" w:lineRule="auto"/>
        <w:ind w:firstLine="709"/>
        <w:jc w:val="both"/>
        <w:rPr>
          <w:rFonts w:ascii="Times New Roman" w:hAnsi="Times New Roman" w:cs="Times New Roman"/>
          <w:sz w:val="28"/>
          <w:szCs w:val="28"/>
        </w:rPr>
      </w:pPr>
      <w:r w:rsidRPr="0044361F">
        <w:rPr>
          <w:rFonts w:ascii="Times New Roman" w:hAnsi="Times New Roman" w:cs="Times New Roman"/>
          <w:sz w:val="28"/>
          <w:szCs w:val="28"/>
        </w:rPr>
        <w:t xml:space="preserve">В рамках реализации мероприятий государственной программы «Комплексное развитие сельских территорий» в 2022 году начата реконструкция 15 км водопроводных сетей и сооружений в с. </w:t>
      </w:r>
      <w:proofErr w:type="spellStart"/>
      <w:r w:rsidRPr="0044361F">
        <w:rPr>
          <w:rFonts w:ascii="Times New Roman" w:hAnsi="Times New Roman" w:cs="Times New Roman"/>
          <w:sz w:val="28"/>
          <w:szCs w:val="28"/>
        </w:rPr>
        <w:t>Парфёново</w:t>
      </w:r>
      <w:proofErr w:type="spellEnd"/>
      <w:r w:rsidRPr="0044361F">
        <w:rPr>
          <w:rFonts w:ascii="Times New Roman" w:hAnsi="Times New Roman" w:cs="Times New Roman"/>
          <w:sz w:val="28"/>
          <w:szCs w:val="28"/>
        </w:rPr>
        <w:t xml:space="preserve">. План завершения реконструкции - 2023 год. На I этапе проложено 9 километров водопроводных сетей, установлена водонапорная башня, пробурено две водозаборные скважины, установлена дизель-генераторная установка, освоено 30,6 млн. руб. Общая стоимость проекта 65,3 млн. руб., из них 10 млн. руб. вклад предпринимателей </w:t>
      </w:r>
      <w:proofErr w:type="spellStart"/>
      <w:r w:rsidRPr="0044361F">
        <w:rPr>
          <w:rFonts w:ascii="Times New Roman" w:hAnsi="Times New Roman" w:cs="Times New Roman"/>
          <w:sz w:val="28"/>
          <w:szCs w:val="28"/>
        </w:rPr>
        <w:t>Парфёновского</w:t>
      </w:r>
      <w:proofErr w:type="spellEnd"/>
      <w:r w:rsidRPr="0044361F">
        <w:rPr>
          <w:rFonts w:ascii="Times New Roman" w:hAnsi="Times New Roman" w:cs="Times New Roman"/>
          <w:sz w:val="28"/>
          <w:szCs w:val="28"/>
        </w:rPr>
        <w:t xml:space="preserve"> сельсовета.</w:t>
      </w:r>
    </w:p>
    <w:p w:rsidR="0044361F" w:rsidRPr="0044361F" w:rsidRDefault="0044361F" w:rsidP="0044361F">
      <w:pPr>
        <w:spacing w:after="0" w:line="240" w:lineRule="auto"/>
        <w:ind w:firstLine="709"/>
        <w:jc w:val="both"/>
        <w:rPr>
          <w:rFonts w:ascii="Times New Roman" w:hAnsi="Times New Roman" w:cs="Times New Roman"/>
          <w:sz w:val="28"/>
          <w:szCs w:val="28"/>
        </w:rPr>
      </w:pPr>
      <w:r w:rsidRPr="0044361F">
        <w:rPr>
          <w:rFonts w:ascii="Times New Roman" w:hAnsi="Times New Roman" w:cs="Times New Roman"/>
          <w:sz w:val="28"/>
          <w:szCs w:val="28"/>
        </w:rPr>
        <w:t xml:space="preserve">Проект реконструкции водопроводных сетей и сооружений в с. </w:t>
      </w:r>
      <w:proofErr w:type="spellStart"/>
      <w:r w:rsidRPr="0044361F">
        <w:rPr>
          <w:rFonts w:ascii="Times New Roman" w:hAnsi="Times New Roman" w:cs="Times New Roman"/>
          <w:sz w:val="28"/>
          <w:szCs w:val="28"/>
        </w:rPr>
        <w:t>Чистюнька</w:t>
      </w:r>
      <w:proofErr w:type="spellEnd"/>
      <w:r w:rsidRPr="0044361F">
        <w:rPr>
          <w:rFonts w:ascii="Times New Roman" w:hAnsi="Times New Roman" w:cs="Times New Roman"/>
          <w:sz w:val="28"/>
          <w:szCs w:val="28"/>
        </w:rPr>
        <w:t>, стоимостью 96,9 млн. руб., включен в региональный проект «Чистая вода» на 2025 год. Стоимость проектных работ составила 9,5 млн. руб.</w:t>
      </w:r>
    </w:p>
    <w:p w:rsidR="0044361F" w:rsidRPr="0044361F" w:rsidRDefault="0044361F" w:rsidP="0044361F">
      <w:pPr>
        <w:spacing w:after="0" w:line="240" w:lineRule="auto"/>
        <w:ind w:firstLine="709"/>
        <w:jc w:val="both"/>
        <w:rPr>
          <w:rFonts w:ascii="Times New Roman" w:hAnsi="Times New Roman" w:cs="Times New Roman"/>
          <w:sz w:val="28"/>
          <w:szCs w:val="28"/>
        </w:rPr>
      </w:pPr>
      <w:r w:rsidRPr="0044361F">
        <w:rPr>
          <w:rFonts w:ascii="Times New Roman" w:hAnsi="Times New Roman" w:cs="Times New Roman"/>
          <w:sz w:val="28"/>
          <w:szCs w:val="28"/>
        </w:rPr>
        <w:t>Завершено четырехлетнее проектирование реконструкции водопроводных сетей и сооружений в с. Топчиха, стоимостью строительно-монтажных работ 462 млн. руб. Получено положительное заключение проектно-сметной документации.</w:t>
      </w:r>
    </w:p>
    <w:p w:rsidR="0044361F" w:rsidRPr="0044361F" w:rsidRDefault="0044361F" w:rsidP="0044361F">
      <w:pPr>
        <w:spacing w:after="0" w:line="240" w:lineRule="auto"/>
        <w:ind w:firstLine="709"/>
        <w:jc w:val="both"/>
        <w:rPr>
          <w:rFonts w:ascii="Times New Roman" w:hAnsi="Times New Roman" w:cs="Times New Roman"/>
          <w:sz w:val="28"/>
          <w:szCs w:val="28"/>
        </w:rPr>
      </w:pPr>
      <w:r w:rsidRPr="0044361F">
        <w:rPr>
          <w:rFonts w:ascii="Times New Roman" w:hAnsi="Times New Roman" w:cs="Times New Roman"/>
          <w:sz w:val="28"/>
          <w:szCs w:val="28"/>
        </w:rPr>
        <w:t>На завершающем этапе двухлетнее проектирование строительства средней школы № 2 в с. Топчиха. В феврале 2023 года выполнены дополнительные геологические изыскания на месте будущего строительства. Проектным институтом «</w:t>
      </w:r>
      <w:proofErr w:type="spellStart"/>
      <w:r w:rsidRPr="0044361F">
        <w:rPr>
          <w:rFonts w:ascii="Times New Roman" w:hAnsi="Times New Roman" w:cs="Times New Roman"/>
          <w:sz w:val="28"/>
          <w:szCs w:val="28"/>
        </w:rPr>
        <w:t>Алтайгражданпроект</w:t>
      </w:r>
      <w:proofErr w:type="spellEnd"/>
      <w:r w:rsidRPr="0044361F">
        <w:rPr>
          <w:rFonts w:ascii="Times New Roman" w:hAnsi="Times New Roman" w:cs="Times New Roman"/>
          <w:sz w:val="28"/>
          <w:szCs w:val="28"/>
        </w:rPr>
        <w:t>» в марте - апреле текущего года планируется передача проекта на государственную экспертизу. На проектирование из краевого бюджета за период 2022-2023 годы выделено 21,</w:t>
      </w:r>
      <w:proofErr w:type="gramStart"/>
      <w:r w:rsidRPr="0044361F">
        <w:rPr>
          <w:rFonts w:ascii="Times New Roman" w:hAnsi="Times New Roman" w:cs="Times New Roman"/>
          <w:sz w:val="28"/>
          <w:szCs w:val="28"/>
        </w:rPr>
        <w:t>5  млн.</w:t>
      </w:r>
      <w:proofErr w:type="gramEnd"/>
      <w:r w:rsidRPr="0044361F">
        <w:rPr>
          <w:rFonts w:ascii="Times New Roman" w:hAnsi="Times New Roman" w:cs="Times New Roman"/>
          <w:sz w:val="28"/>
          <w:szCs w:val="28"/>
        </w:rPr>
        <w:t xml:space="preserve"> руб.</w:t>
      </w:r>
    </w:p>
    <w:p w:rsidR="0044361F" w:rsidRPr="0044361F" w:rsidRDefault="0044361F" w:rsidP="0044361F">
      <w:pPr>
        <w:spacing w:after="0" w:line="240" w:lineRule="auto"/>
        <w:ind w:firstLine="709"/>
        <w:jc w:val="both"/>
        <w:rPr>
          <w:rFonts w:ascii="Times New Roman" w:hAnsi="Times New Roman" w:cs="Times New Roman"/>
          <w:sz w:val="28"/>
          <w:szCs w:val="28"/>
        </w:rPr>
      </w:pPr>
      <w:r w:rsidRPr="0044361F">
        <w:rPr>
          <w:rFonts w:ascii="Times New Roman" w:hAnsi="Times New Roman" w:cs="Times New Roman"/>
          <w:sz w:val="28"/>
          <w:szCs w:val="28"/>
        </w:rPr>
        <w:t xml:space="preserve">Следующий масштабный проект для района – газификация находится в активной фазе проектирования. Проектной организацией «Альфа-проект» проектируется 30 километров распределительной сети в с. Топчиха на основании </w:t>
      </w:r>
      <w:r w:rsidRPr="0044361F">
        <w:rPr>
          <w:rFonts w:ascii="Times New Roman" w:hAnsi="Times New Roman" w:cs="Times New Roman"/>
          <w:sz w:val="28"/>
          <w:szCs w:val="28"/>
        </w:rPr>
        <w:lastRenderedPageBreak/>
        <w:t>исходных данных, предоставляемых Администрацией района. Проектный институт ООО «ИПИГАЗ» проектирует межпоселковый газопровод высокого давления от с. Калманка до с. Топчиха, согласована схема его прохождения. Проектирование объекта осуществляется за счет средств ПАО «Газпром».</w:t>
      </w:r>
    </w:p>
    <w:p w:rsidR="00FF6886" w:rsidRDefault="00EE116A" w:rsidP="00FF6886">
      <w:pPr>
        <w:spacing w:after="0" w:line="240" w:lineRule="auto"/>
        <w:ind w:firstLine="567"/>
        <w:jc w:val="both"/>
        <w:rPr>
          <w:rFonts w:ascii="Times New Roman" w:eastAsia="Times New Roman" w:hAnsi="Times New Roman" w:cs="Times New Roman"/>
          <w:sz w:val="28"/>
          <w:szCs w:val="28"/>
        </w:rPr>
      </w:pPr>
      <w:r w:rsidRPr="00EE116A">
        <w:rPr>
          <w:rFonts w:ascii="Times New Roman" w:eastAsia="Times New Roman" w:hAnsi="Times New Roman" w:cs="Times New Roman"/>
          <w:sz w:val="28"/>
          <w:szCs w:val="28"/>
        </w:rPr>
        <w:t>В рамках реализации мероприятий муниципальной программы «Комплексное развитие сельских территорий Топчихинского</w:t>
      </w:r>
      <w:r w:rsidR="006A3EB1">
        <w:rPr>
          <w:rFonts w:ascii="Times New Roman" w:eastAsia="Times New Roman" w:hAnsi="Times New Roman" w:cs="Times New Roman"/>
          <w:sz w:val="28"/>
          <w:szCs w:val="28"/>
        </w:rPr>
        <w:t xml:space="preserve"> района Алтайского края» в 202</w:t>
      </w:r>
      <w:r w:rsidR="00E436D5">
        <w:rPr>
          <w:rFonts w:ascii="Times New Roman" w:eastAsia="Times New Roman" w:hAnsi="Times New Roman" w:cs="Times New Roman"/>
          <w:sz w:val="28"/>
          <w:szCs w:val="28"/>
        </w:rPr>
        <w:t>2</w:t>
      </w:r>
      <w:r w:rsidR="006A3EB1">
        <w:rPr>
          <w:rFonts w:ascii="Times New Roman" w:eastAsia="Times New Roman" w:hAnsi="Times New Roman" w:cs="Times New Roman"/>
          <w:sz w:val="28"/>
          <w:szCs w:val="28"/>
        </w:rPr>
        <w:t xml:space="preserve"> проведено благоустройство кладбища в с. </w:t>
      </w:r>
      <w:proofErr w:type="spellStart"/>
      <w:r w:rsidR="00E436D5">
        <w:rPr>
          <w:rFonts w:ascii="Times New Roman" w:eastAsia="Times New Roman" w:hAnsi="Times New Roman" w:cs="Times New Roman"/>
          <w:sz w:val="28"/>
          <w:szCs w:val="28"/>
        </w:rPr>
        <w:t>Макарьевка</w:t>
      </w:r>
      <w:proofErr w:type="spellEnd"/>
      <w:r w:rsidR="00880C70">
        <w:rPr>
          <w:rFonts w:ascii="Times New Roman" w:eastAsia="Times New Roman" w:hAnsi="Times New Roman" w:cs="Times New Roman"/>
          <w:sz w:val="28"/>
          <w:szCs w:val="28"/>
        </w:rPr>
        <w:t xml:space="preserve"> (</w:t>
      </w:r>
      <w:r w:rsidR="006A3EB1">
        <w:rPr>
          <w:rFonts w:ascii="Times New Roman" w:eastAsia="Times New Roman" w:hAnsi="Times New Roman" w:cs="Times New Roman"/>
          <w:sz w:val="28"/>
          <w:szCs w:val="28"/>
        </w:rPr>
        <w:t>освоено всего 1</w:t>
      </w:r>
      <w:r w:rsidR="00E436D5">
        <w:rPr>
          <w:rFonts w:ascii="Times New Roman" w:eastAsia="Times New Roman" w:hAnsi="Times New Roman" w:cs="Times New Roman"/>
          <w:sz w:val="28"/>
          <w:szCs w:val="28"/>
        </w:rPr>
        <w:t>984,283</w:t>
      </w:r>
      <w:r w:rsidR="006A3EB1">
        <w:rPr>
          <w:rFonts w:ascii="Times New Roman" w:eastAsia="Times New Roman" w:hAnsi="Times New Roman" w:cs="Times New Roman"/>
          <w:sz w:val="28"/>
          <w:szCs w:val="28"/>
        </w:rPr>
        <w:t xml:space="preserve"> тыс. руб. бюджетных средств, в </w:t>
      </w:r>
      <w:proofErr w:type="spellStart"/>
      <w:r w:rsidR="006A3EB1">
        <w:rPr>
          <w:rFonts w:ascii="Times New Roman" w:eastAsia="Times New Roman" w:hAnsi="Times New Roman" w:cs="Times New Roman"/>
          <w:sz w:val="28"/>
          <w:szCs w:val="28"/>
        </w:rPr>
        <w:t>т.ч</w:t>
      </w:r>
      <w:proofErr w:type="spellEnd"/>
      <w:r w:rsidR="006A3EB1">
        <w:rPr>
          <w:rFonts w:ascii="Times New Roman" w:eastAsia="Times New Roman" w:hAnsi="Times New Roman" w:cs="Times New Roman"/>
          <w:sz w:val="28"/>
          <w:szCs w:val="28"/>
        </w:rPr>
        <w:t xml:space="preserve">. средства КБ- </w:t>
      </w:r>
      <w:r w:rsidR="00E436D5">
        <w:rPr>
          <w:rFonts w:ascii="Times New Roman" w:eastAsia="Times New Roman" w:hAnsi="Times New Roman" w:cs="Times New Roman"/>
          <w:sz w:val="28"/>
          <w:szCs w:val="28"/>
        </w:rPr>
        <w:t xml:space="preserve">1254,705 </w:t>
      </w:r>
      <w:r w:rsidR="006A3EB1">
        <w:rPr>
          <w:rFonts w:ascii="Times New Roman" w:eastAsia="Times New Roman" w:hAnsi="Times New Roman" w:cs="Times New Roman"/>
          <w:sz w:val="28"/>
          <w:szCs w:val="28"/>
        </w:rPr>
        <w:t xml:space="preserve">тыс. руб., РБ – </w:t>
      </w:r>
      <w:r w:rsidR="00E436D5">
        <w:rPr>
          <w:rFonts w:ascii="Times New Roman" w:eastAsia="Times New Roman" w:hAnsi="Times New Roman" w:cs="Times New Roman"/>
          <w:sz w:val="28"/>
          <w:szCs w:val="28"/>
        </w:rPr>
        <w:t>610,578 тыс. руб., ВИ – 119,0</w:t>
      </w:r>
      <w:r w:rsidR="006A3EB1">
        <w:rPr>
          <w:rFonts w:ascii="Times New Roman" w:eastAsia="Times New Roman" w:hAnsi="Times New Roman" w:cs="Times New Roman"/>
          <w:sz w:val="28"/>
          <w:szCs w:val="28"/>
        </w:rPr>
        <w:t xml:space="preserve"> тыс. руб.</w:t>
      </w:r>
      <w:r w:rsidR="00880C70">
        <w:rPr>
          <w:rFonts w:ascii="Times New Roman" w:eastAsia="Times New Roman" w:hAnsi="Times New Roman" w:cs="Times New Roman"/>
          <w:sz w:val="28"/>
          <w:szCs w:val="28"/>
        </w:rPr>
        <w:t>)</w:t>
      </w:r>
      <w:r w:rsidR="006A3EB1">
        <w:rPr>
          <w:rFonts w:ascii="Times New Roman" w:eastAsia="Times New Roman" w:hAnsi="Times New Roman" w:cs="Times New Roman"/>
          <w:sz w:val="28"/>
          <w:szCs w:val="28"/>
        </w:rPr>
        <w:t xml:space="preserve">, в </w:t>
      </w:r>
      <w:r w:rsidR="00E436D5">
        <w:rPr>
          <w:rFonts w:ascii="Times New Roman" w:eastAsia="Times New Roman" w:hAnsi="Times New Roman" w:cs="Times New Roman"/>
          <w:sz w:val="28"/>
          <w:szCs w:val="28"/>
        </w:rPr>
        <w:t>п. Ульяновский</w:t>
      </w:r>
      <w:r w:rsidR="00880C70">
        <w:rPr>
          <w:rFonts w:ascii="Times New Roman" w:eastAsia="Times New Roman" w:hAnsi="Times New Roman" w:cs="Times New Roman"/>
          <w:sz w:val="28"/>
          <w:szCs w:val="28"/>
        </w:rPr>
        <w:t xml:space="preserve"> (</w:t>
      </w:r>
      <w:r w:rsidR="006A3EB1" w:rsidRPr="006A3EB1">
        <w:rPr>
          <w:rFonts w:ascii="Times New Roman" w:eastAsia="Times New Roman" w:hAnsi="Times New Roman" w:cs="Times New Roman"/>
          <w:sz w:val="28"/>
          <w:szCs w:val="28"/>
        </w:rPr>
        <w:t xml:space="preserve">освоено всего </w:t>
      </w:r>
      <w:r w:rsidR="006A3EB1">
        <w:rPr>
          <w:rFonts w:ascii="Times New Roman" w:eastAsia="Times New Roman" w:hAnsi="Times New Roman" w:cs="Times New Roman"/>
          <w:sz w:val="28"/>
          <w:szCs w:val="28"/>
        </w:rPr>
        <w:t>1</w:t>
      </w:r>
      <w:r w:rsidR="00E436D5">
        <w:rPr>
          <w:rFonts w:ascii="Times New Roman" w:eastAsia="Times New Roman" w:hAnsi="Times New Roman" w:cs="Times New Roman"/>
          <w:sz w:val="28"/>
          <w:szCs w:val="28"/>
        </w:rPr>
        <w:t>897,105</w:t>
      </w:r>
      <w:r w:rsidR="006A3EB1" w:rsidRPr="006A3EB1">
        <w:rPr>
          <w:rFonts w:ascii="Times New Roman" w:eastAsia="Times New Roman" w:hAnsi="Times New Roman" w:cs="Times New Roman"/>
          <w:sz w:val="28"/>
          <w:szCs w:val="28"/>
        </w:rPr>
        <w:t xml:space="preserve"> тыс. руб. бюджетных средств, в </w:t>
      </w:r>
      <w:proofErr w:type="spellStart"/>
      <w:r w:rsidR="006A3EB1" w:rsidRPr="006A3EB1">
        <w:rPr>
          <w:rFonts w:ascii="Times New Roman" w:eastAsia="Times New Roman" w:hAnsi="Times New Roman" w:cs="Times New Roman"/>
          <w:sz w:val="28"/>
          <w:szCs w:val="28"/>
        </w:rPr>
        <w:t>т.ч</w:t>
      </w:r>
      <w:proofErr w:type="spellEnd"/>
      <w:r w:rsidR="006A3EB1" w:rsidRPr="006A3EB1">
        <w:rPr>
          <w:rFonts w:ascii="Times New Roman" w:eastAsia="Times New Roman" w:hAnsi="Times New Roman" w:cs="Times New Roman"/>
          <w:sz w:val="28"/>
          <w:szCs w:val="28"/>
        </w:rPr>
        <w:t>. средства КБ</w:t>
      </w:r>
      <w:r w:rsidR="00B35C1B">
        <w:rPr>
          <w:rFonts w:ascii="Times New Roman" w:eastAsia="Times New Roman" w:hAnsi="Times New Roman" w:cs="Times New Roman"/>
          <w:sz w:val="28"/>
          <w:szCs w:val="28"/>
        </w:rPr>
        <w:t xml:space="preserve"> </w:t>
      </w:r>
      <w:r w:rsidR="006A3EB1" w:rsidRPr="006A3EB1">
        <w:rPr>
          <w:rFonts w:ascii="Times New Roman" w:eastAsia="Times New Roman" w:hAnsi="Times New Roman" w:cs="Times New Roman"/>
          <w:sz w:val="28"/>
          <w:szCs w:val="28"/>
        </w:rPr>
        <w:t xml:space="preserve">- </w:t>
      </w:r>
      <w:r w:rsidR="006A3EB1">
        <w:rPr>
          <w:rFonts w:ascii="Times New Roman" w:eastAsia="Times New Roman" w:hAnsi="Times New Roman" w:cs="Times New Roman"/>
          <w:sz w:val="28"/>
          <w:szCs w:val="28"/>
        </w:rPr>
        <w:t>1</w:t>
      </w:r>
      <w:r w:rsidR="00E436D5">
        <w:rPr>
          <w:rFonts w:ascii="Times New Roman" w:eastAsia="Times New Roman" w:hAnsi="Times New Roman" w:cs="Times New Roman"/>
          <w:sz w:val="28"/>
          <w:szCs w:val="28"/>
        </w:rPr>
        <w:t>3</w:t>
      </w:r>
      <w:r w:rsidR="006A3EB1">
        <w:rPr>
          <w:rFonts w:ascii="Times New Roman" w:eastAsia="Times New Roman" w:hAnsi="Times New Roman" w:cs="Times New Roman"/>
          <w:sz w:val="28"/>
          <w:szCs w:val="28"/>
        </w:rPr>
        <w:t>00</w:t>
      </w:r>
      <w:r w:rsidR="006A3EB1" w:rsidRPr="006A3EB1">
        <w:rPr>
          <w:rFonts w:ascii="Times New Roman" w:eastAsia="Times New Roman" w:hAnsi="Times New Roman" w:cs="Times New Roman"/>
          <w:sz w:val="28"/>
          <w:szCs w:val="28"/>
        </w:rPr>
        <w:t xml:space="preserve"> тыс. руб., РБ – </w:t>
      </w:r>
      <w:r w:rsidR="00E436D5">
        <w:rPr>
          <w:rFonts w:ascii="Times New Roman" w:eastAsia="Times New Roman" w:hAnsi="Times New Roman" w:cs="Times New Roman"/>
          <w:sz w:val="28"/>
          <w:szCs w:val="28"/>
        </w:rPr>
        <w:t>482,25</w:t>
      </w:r>
      <w:r w:rsidR="00294405">
        <w:rPr>
          <w:rFonts w:ascii="Times New Roman" w:eastAsia="Times New Roman" w:hAnsi="Times New Roman" w:cs="Times New Roman"/>
          <w:sz w:val="28"/>
          <w:szCs w:val="28"/>
        </w:rPr>
        <w:t xml:space="preserve"> </w:t>
      </w:r>
      <w:r w:rsidR="006A3EB1" w:rsidRPr="006A3EB1">
        <w:rPr>
          <w:rFonts w:ascii="Times New Roman" w:eastAsia="Times New Roman" w:hAnsi="Times New Roman" w:cs="Times New Roman"/>
          <w:sz w:val="28"/>
          <w:szCs w:val="28"/>
        </w:rPr>
        <w:t xml:space="preserve">тыс. руб., ВИ – </w:t>
      </w:r>
      <w:r w:rsidR="00294405">
        <w:rPr>
          <w:rFonts w:ascii="Times New Roman" w:eastAsia="Times New Roman" w:hAnsi="Times New Roman" w:cs="Times New Roman"/>
          <w:sz w:val="28"/>
          <w:szCs w:val="28"/>
        </w:rPr>
        <w:t>1</w:t>
      </w:r>
      <w:r w:rsidR="00E436D5">
        <w:rPr>
          <w:rFonts w:ascii="Times New Roman" w:eastAsia="Times New Roman" w:hAnsi="Times New Roman" w:cs="Times New Roman"/>
          <w:sz w:val="28"/>
          <w:szCs w:val="28"/>
        </w:rPr>
        <w:t>14,855</w:t>
      </w:r>
      <w:r w:rsidR="00294405">
        <w:rPr>
          <w:rFonts w:ascii="Times New Roman" w:eastAsia="Times New Roman" w:hAnsi="Times New Roman" w:cs="Times New Roman"/>
          <w:sz w:val="28"/>
          <w:szCs w:val="28"/>
        </w:rPr>
        <w:t xml:space="preserve"> тыс. руб</w:t>
      </w:r>
      <w:r w:rsidR="00880C70">
        <w:rPr>
          <w:rFonts w:ascii="Times New Roman" w:eastAsia="Times New Roman" w:hAnsi="Times New Roman" w:cs="Times New Roman"/>
          <w:sz w:val="28"/>
          <w:szCs w:val="28"/>
        </w:rPr>
        <w:t>.)</w:t>
      </w:r>
      <w:r w:rsidR="00E436D5">
        <w:rPr>
          <w:rFonts w:ascii="Times New Roman" w:eastAsia="Times New Roman" w:hAnsi="Times New Roman" w:cs="Times New Roman"/>
          <w:sz w:val="28"/>
          <w:szCs w:val="28"/>
        </w:rPr>
        <w:t xml:space="preserve">, в с. Покровка </w:t>
      </w:r>
      <w:r w:rsidR="00E436D5">
        <w:rPr>
          <w:rFonts w:ascii="Times New Roman" w:eastAsia="Times New Roman" w:hAnsi="Times New Roman" w:cs="Times New Roman"/>
          <w:sz w:val="28"/>
          <w:szCs w:val="28"/>
        </w:rPr>
        <w:t>(освоено всего 1</w:t>
      </w:r>
      <w:r w:rsidR="00E436D5">
        <w:rPr>
          <w:rFonts w:ascii="Times New Roman" w:eastAsia="Times New Roman" w:hAnsi="Times New Roman" w:cs="Times New Roman"/>
          <w:sz w:val="28"/>
          <w:szCs w:val="28"/>
        </w:rPr>
        <w:t>670,021</w:t>
      </w:r>
      <w:r w:rsidR="00E436D5">
        <w:rPr>
          <w:rFonts w:ascii="Times New Roman" w:eastAsia="Times New Roman" w:hAnsi="Times New Roman" w:cs="Times New Roman"/>
          <w:sz w:val="28"/>
          <w:szCs w:val="28"/>
        </w:rPr>
        <w:t xml:space="preserve"> тыс. руб. бюджетных средств, в </w:t>
      </w:r>
      <w:proofErr w:type="spellStart"/>
      <w:r w:rsidR="00E436D5">
        <w:rPr>
          <w:rFonts w:ascii="Times New Roman" w:eastAsia="Times New Roman" w:hAnsi="Times New Roman" w:cs="Times New Roman"/>
          <w:sz w:val="28"/>
          <w:szCs w:val="28"/>
        </w:rPr>
        <w:t>т.ч</w:t>
      </w:r>
      <w:proofErr w:type="spellEnd"/>
      <w:r w:rsidR="00E436D5">
        <w:rPr>
          <w:rFonts w:ascii="Times New Roman" w:eastAsia="Times New Roman" w:hAnsi="Times New Roman" w:cs="Times New Roman"/>
          <w:sz w:val="28"/>
          <w:szCs w:val="28"/>
        </w:rPr>
        <w:t>. средства КБ- 12</w:t>
      </w:r>
      <w:r w:rsidR="00E436D5">
        <w:rPr>
          <w:rFonts w:ascii="Times New Roman" w:eastAsia="Times New Roman" w:hAnsi="Times New Roman" w:cs="Times New Roman"/>
          <w:sz w:val="28"/>
          <w:szCs w:val="28"/>
        </w:rPr>
        <w:t>40,329</w:t>
      </w:r>
      <w:r w:rsidR="00E436D5">
        <w:rPr>
          <w:rFonts w:ascii="Times New Roman" w:eastAsia="Times New Roman" w:hAnsi="Times New Roman" w:cs="Times New Roman"/>
          <w:sz w:val="28"/>
          <w:szCs w:val="28"/>
        </w:rPr>
        <w:t xml:space="preserve"> тыс. руб., РБ – </w:t>
      </w:r>
      <w:r w:rsidR="00E436D5">
        <w:rPr>
          <w:rFonts w:ascii="Times New Roman" w:eastAsia="Times New Roman" w:hAnsi="Times New Roman" w:cs="Times New Roman"/>
          <w:sz w:val="28"/>
          <w:szCs w:val="28"/>
        </w:rPr>
        <w:t>280,692</w:t>
      </w:r>
      <w:r w:rsidR="00E436D5">
        <w:rPr>
          <w:rFonts w:ascii="Times New Roman" w:eastAsia="Times New Roman" w:hAnsi="Times New Roman" w:cs="Times New Roman"/>
          <w:sz w:val="28"/>
          <w:szCs w:val="28"/>
        </w:rPr>
        <w:t xml:space="preserve"> тыс. руб., ВИ – 1</w:t>
      </w:r>
      <w:r w:rsidR="00E436D5">
        <w:rPr>
          <w:rFonts w:ascii="Times New Roman" w:eastAsia="Times New Roman" w:hAnsi="Times New Roman" w:cs="Times New Roman"/>
          <w:sz w:val="28"/>
          <w:szCs w:val="28"/>
        </w:rPr>
        <w:t>49</w:t>
      </w:r>
      <w:r w:rsidR="00E436D5">
        <w:rPr>
          <w:rFonts w:ascii="Times New Roman" w:eastAsia="Times New Roman" w:hAnsi="Times New Roman" w:cs="Times New Roman"/>
          <w:sz w:val="28"/>
          <w:szCs w:val="28"/>
        </w:rPr>
        <w:t>,0 тыс. руб.)</w:t>
      </w:r>
      <w:r w:rsidRPr="00EE116A">
        <w:rPr>
          <w:rFonts w:ascii="Times New Roman" w:eastAsia="Times New Roman" w:hAnsi="Times New Roman" w:cs="Times New Roman"/>
          <w:sz w:val="28"/>
          <w:szCs w:val="28"/>
        </w:rPr>
        <w:t>.</w:t>
      </w:r>
      <w:r w:rsidR="00FF6886">
        <w:rPr>
          <w:rFonts w:ascii="Times New Roman" w:eastAsia="Times New Roman" w:hAnsi="Times New Roman" w:cs="Times New Roman"/>
          <w:sz w:val="28"/>
          <w:szCs w:val="28"/>
        </w:rPr>
        <w:t xml:space="preserve"> В рамках реализации </w:t>
      </w:r>
      <w:r w:rsidR="006C7516">
        <w:rPr>
          <w:rFonts w:ascii="Times New Roman" w:eastAsia="Times New Roman" w:hAnsi="Times New Roman" w:cs="Times New Roman"/>
          <w:sz w:val="28"/>
          <w:szCs w:val="28"/>
        </w:rPr>
        <w:t>мероприятия программы</w:t>
      </w:r>
      <w:r w:rsidR="00FF6886">
        <w:rPr>
          <w:rFonts w:ascii="Times New Roman" w:eastAsia="Times New Roman" w:hAnsi="Times New Roman" w:cs="Times New Roman"/>
          <w:sz w:val="28"/>
          <w:szCs w:val="28"/>
        </w:rPr>
        <w:t xml:space="preserve"> «Улучшение жилищных условий проживающих на сельских территориях граждан путем строительства (приобретения) жилья с использованием социальных выплат </w:t>
      </w:r>
      <w:r w:rsidR="00880C70">
        <w:rPr>
          <w:rFonts w:ascii="Times New Roman" w:eastAsia="Times New Roman" w:hAnsi="Times New Roman" w:cs="Times New Roman"/>
          <w:sz w:val="28"/>
          <w:szCs w:val="28"/>
        </w:rPr>
        <w:t>1 семья п</w:t>
      </w:r>
      <w:r w:rsidR="006C7516">
        <w:rPr>
          <w:rFonts w:ascii="Times New Roman" w:eastAsia="Times New Roman" w:hAnsi="Times New Roman" w:cs="Times New Roman"/>
          <w:sz w:val="28"/>
          <w:szCs w:val="28"/>
        </w:rPr>
        <w:t>олучила сертификат (</w:t>
      </w:r>
      <w:r w:rsidR="00FF6886">
        <w:rPr>
          <w:rFonts w:ascii="Times New Roman" w:eastAsia="Times New Roman" w:hAnsi="Times New Roman" w:cs="Times New Roman"/>
          <w:sz w:val="28"/>
          <w:szCs w:val="28"/>
        </w:rPr>
        <w:t>освоено всего 1</w:t>
      </w:r>
      <w:r w:rsidR="00E436D5">
        <w:rPr>
          <w:rFonts w:ascii="Times New Roman" w:eastAsia="Times New Roman" w:hAnsi="Times New Roman" w:cs="Times New Roman"/>
          <w:sz w:val="28"/>
          <w:szCs w:val="28"/>
        </w:rPr>
        <w:t>237,2</w:t>
      </w:r>
      <w:r w:rsidR="00B35C1B">
        <w:rPr>
          <w:rFonts w:ascii="Times New Roman" w:eastAsia="Times New Roman" w:hAnsi="Times New Roman" w:cs="Times New Roman"/>
          <w:sz w:val="28"/>
          <w:szCs w:val="28"/>
        </w:rPr>
        <w:t xml:space="preserve"> тыс. руб., средств в т. ч КБ </w:t>
      </w:r>
      <w:r w:rsidR="00E436D5">
        <w:rPr>
          <w:rFonts w:ascii="Times New Roman" w:eastAsia="Times New Roman" w:hAnsi="Times New Roman" w:cs="Times New Roman"/>
          <w:sz w:val="28"/>
          <w:szCs w:val="28"/>
        </w:rPr>
        <w:t>–</w:t>
      </w:r>
      <w:r w:rsidR="00B35C1B">
        <w:rPr>
          <w:rFonts w:ascii="Times New Roman" w:eastAsia="Times New Roman" w:hAnsi="Times New Roman" w:cs="Times New Roman"/>
          <w:sz w:val="28"/>
          <w:szCs w:val="28"/>
        </w:rPr>
        <w:t xml:space="preserve"> </w:t>
      </w:r>
      <w:r w:rsidR="00E436D5">
        <w:rPr>
          <w:rFonts w:ascii="Times New Roman" w:eastAsia="Times New Roman" w:hAnsi="Times New Roman" w:cs="Times New Roman"/>
          <w:sz w:val="28"/>
          <w:szCs w:val="28"/>
        </w:rPr>
        <w:t>947,2</w:t>
      </w:r>
      <w:r w:rsidR="00B35C1B">
        <w:rPr>
          <w:rFonts w:ascii="Times New Roman" w:eastAsia="Times New Roman" w:hAnsi="Times New Roman" w:cs="Times New Roman"/>
          <w:sz w:val="28"/>
          <w:szCs w:val="28"/>
        </w:rPr>
        <w:t xml:space="preserve"> тыс. руб., ВИ – </w:t>
      </w:r>
      <w:r w:rsidR="00E436D5">
        <w:rPr>
          <w:rFonts w:ascii="Times New Roman" w:eastAsia="Times New Roman" w:hAnsi="Times New Roman" w:cs="Times New Roman"/>
          <w:sz w:val="28"/>
          <w:szCs w:val="28"/>
        </w:rPr>
        <w:t>290,0</w:t>
      </w:r>
      <w:r w:rsidR="00B35C1B">
        <w:rPr>
          <w:rFonts w:ascii="Times New Roman" w:eastAsia="Times New Roman" w:hAnsi="Times New Roman" w:cs="Times New Roman"/>
          <w:sz w:val="28"/>
          <w:szCs w:val="28"/>
        </w:rPr>
        <w:t xml:space="preserve"> тыс.</w:t>
      </w:r>
      <w:r w:rsidR="006C7516">
        <w:rPr>
          <w:rFonts w:ascii="Times New Roman" w:eastAsia="Times New Roman" w:hAnsi="Times New Roman" w:cs="Times New Roman"/>
          <w:sz w:val="28"/>
          <w:szCs w:val="28"/>
        </w:rPr>
        <w:t xml:space="preserve"> руб.)</w:t>
      </w:r>
    </w:p>
    <w:p w:rsidR="00D62F85" w:rsidRPr="004C22E8" w:rsidRDefault="00D62F85" w:rsidP="00FF6886">
      <w:pPr>
        <w:spacing w:after="0" w:line="240" w:lineRule="auto"/>
        <w:ind w:firstLine="567"/>
        <w:jc w:val="both"/>
        <w:rPr>
          <w:rFonts w:ascii="Times New Roman" w:eastAsia="Times New Roman" w:hAnsi="Times New Roman" w:cs="Times New Roman"/>
          <w:sz w:val="28"/>
          <w:szCs w:val="28"/>
        </w:rPr>
      </w:pPr>
      <w:bookmarkStart w:id="1" w:name="_GoBack"/>
      <w:bookmarkEnd w:id="1"/>
    </w:p>
    <w:sectPr w:rsidR="00D62F85" w:rsidRPr="004C22E8" w:rsidSect="00F01D6C">
      <w:headerReference w:type="default" r:id="rId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230" w:rsidRDefault="00533230" w:rsidP="00975F59">
      <w:pPr>
        <w:spacing w:after="0" w:line="240" w:lineRule="auto"/>
      </w:pPr>
      <w:r>
        <w:separator/>
      </w:r>
    </w:p>
  </w:endnote>
  <w:endnote w:type="continuationSeparator" w:id="0">
    <w:p w:rsidR="00533230" w:rsidRDefault="00533230" w:rsidP="00975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230" w:rsidRDefault="00533230" w:rsidP="00975F59">
      <w:pPr>
        <w:spacing w:after="0" w:line="240" w:lineRule="auto"/>
      </w:pPr>
      <w:r>
        <w:separator/>
      </w:r>
    </w:p>
  </w:footnote>
  <w:footnote w:type="continuationSeparator" w:id="0">
    <w:p w:rsidR="00533230" w:rsidRDefault="00533230" w:rsidP="00975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3231"/>
      <w:docPartObj>
        <w:docPartGallery w:val="Page Numbers (Top of Page)"/>
        <w:docPartUnique/>
      </w:docPartObj>
    </w:sdtPr>
    <w:sdtEndPr/>
    <w:sdtContent>
      <w:p w:rsidR="00975F59" w:rsidRDefault="0063248A">
        <w:pPr>
          <w:pStyle w:val="a3"/>
          <w:jc w:val="right"/>
        </w:pPr>
        <w:r w:rsidRPr="00975F59">
          <w:rPr>
            <w:rFonts w:ascii="Times New Roman" w:hAnsi="Times New Roman" w:cs="Times New Roman"/>
            <w:sz w:val="28"/>
            <w:szCs w:val="28"/>
          </w:rPr>
          <w:fldChar w:fldCharType="begin"/>
        </w:r>
        <w:r w:rsidR="00975F59" w:rsidRPr="00975F59">
          <w:rPr>
            <w:rFonts w:ascii="Times New Roman" w:hAnsi="Times New Roman" w:cs="Times New Roman"/>
            <w:sz w:val="28"/>
            <w:szCs w:val="28"/>
          </w:rPr>
          <w:instrText xml:space="preserve"> PAGE   \* MERGEFORMAT </w:instrText>
        </w:r>
        <w:r w:rsidRPr="00975F59">
          <w:rPr>
            <w:rFonts w:ascii="Times New Roman" w:hAnsi="Times New Roman" w:cs="Times New Roman"/>
            <w:sz w:val="28"/>
            <w:szCs w:val="28"/>
          </w:rPr>
          <w:fldChar w:fldCharType="separate"/>
        </w:r>
        <w:r w:rsidR="00E436D5">
          <w:rPr>
            <w:rFonts w:ascii="Times New Roman" w:hAnsi="Times New Roman" w:cs="Times New Roman"/>
            <w:noProof/>
            <w:sz w:val="28"/>
            <w:szCs w:val="28"/>
          </w:rPr>
          <w:t>3</w:t>
        </w:r>
        <w:r w:rsidRPr="00975F59">
          <w:rPr>
            <w:rFonts w:ascii="Times New Roman" w:hAnsi="Times New Roman" w:cs="Times New Roman"/>
            <w:sz w:val="28"/>
            <w:szCs w:val="28"/>
          </w:rPr>
          <w:fldChar w:fldCharType="end"/>
        </w:r>
      </w:p>
    </w:sdtContent>
  </w:sdt>
  <w:p w:rsidR="00975F59" w:rsidRDefault="00975F5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E9"/>
    <w:rsid w:val="000005D1"/>
    <w:rsid w:val="00007D65"/>
    <w:rsid w:val="00015BD5"/>
    <w:rsid w:val="00031FE3"/>
    <w:rsid w:val="00032404"/>
    <w:rsid w:val="0003308C"/>
    <w:rsid w:val="000341C2"/>
    <w:rsid w:val="00040FC3"/>
    <w:rsid w:val="00050DF9"/>
    <w:rsid w:val="000514C9"/>
    <w:rsid w:val="0006456E"/>
    <w:rsid w:val="00085383"/>
    <w:rsid w:val="00086D60"/>
    <w:rsid w:val="0008739F"/>
    <w:rsid w:val="000877B4"/>
    <w:rsid w:val="000A452F"/>
    <w:rsid w:val="000B4536"/>
    <w:rsid w:val="000B46F3"/>
    <w:rsid w:val="000E6621"/>
    <w:rsid w:val="000F19AF"/>
    <w:rsid w:val="001051F9"/>
    <w:rsid w:val="00117380"/>
    <w:rsid w:val="00126334"/>
    <w:rsid w:val="00130F2F"/>
    <w:rsid w:val="00135B77"/>
    <w:rsid w:val="00142EB1"/>
    <w:rsid w:val="00145740"/>
    <w:rsid w:val="00155DB2"/>
    <w:rsid w:val="00157175"/>
    <w:rsid w:val="00175303"/>
    <w:rsid w:val="0018648F"/>
    <w:rsid w:val="001A226A"/>
    <w:rsid w:val="001B20D5"/>
    <w:rsid w:val="001C1FED"/>
    <w:rsid w:val="001C2475"/>
    <w:rsid w:val="001C2B31"/>
    <w:rsid w:val="001E2D52"/>
    <w:rsid w:val="001F18C1"/>
    <w:rsid w:val="0020058E"/>
    <w:rsid w:val="00202080"/>
    <w:rsid w:val="00212B88"/>
    <w:rsid w:val="00236876"/>
    <w:rsid w:val="00240F3A"/>
    <w:rsid w:val="00242743"/>
    <w:rsid w:val="00250CDF"/>
    <w:rsid w:val="00260252"/>
    <w:rsid w:val="00261FBE"/>
    <w:rsid w:val="002676A6"/>
    <w:rsid w:val="00267BC5"/>
    <w:rsid w:val="002750D9"/>
    <w:rsid w:val="00277269"/>
    <w:rsid w:val="0027787D"/>
    <w:rsid w:val="00290057"/>
    <w:rsid w:val="00290CD2"/>
    <w:rsid w:val="00294405"/>
    <w:rsid w:val="00295AEA"/>
    <w:rsid w:val="002C166C"/>
    <w:rsid w:val="002D7487"/>
    <w:rsid w:val="002E1283"/>
    <w:rsid w:val="002E4275"/>
    <w:rsid w:val="003344A5"/>
    <w:rsid w:val="00334F7E"/>
    <w:rsid w:val="00335F83"/>
    <w:rsid w:val="00340134"/>
    <w:rsid w:val="0034228A"/>
    <w:rsid w:val="00346A92"/>
    <w:rsid w:val="003538DF"/>
    <w:rsid w:val="00354A5F"/>
    <w:rsid w:val="00356788"/>
    <w:rsid w:val="0036451C"/>
    <w:rsid w:val="00386F9F"/>
    <w:rsid w:val="00392EAD"/>
    <w:rsid w:val="003947A0"/>
    <w:rsid w:val="003A06C5"/>
    <w:rsid w:val="003A7DFB"/>
    <w:rsid w:val="003B237C"/>
    <w:rsid w:val="003B5DE4"/>
    <w:rsid w:val="003C130B"/>
    <w:rsid w:val="003D061A"/>
    <w:rsid w:val="003D0BE8"/>
    <w:rsid w:val="003D2EBA"/>
    <w:rsid w:val="003F3F63"/>
    <w:rsid w:val="0040716F"/>
    <w:rsid w:val="00411BBA"/>
    <w:rsid w:val="00423552"/>
    <w:rsid w:val="00425248"/>
    <w:rsid w:val="00430777"/>
    <w:rsid w:val="00431708"/>
    <w:rsid w:val="00434E01"/>
    <w:rsid w:val="0043526C"/>
    <w:rsid w:val="00436B59"/>
    <w:rsid w:val="004415DD"/>
    <w:rsid w:val="00441FD7"/>
    <w:rsid w:val="00442019"/>
    <w:rsid w:val="004420A5"/>
    <w:rsid w:val="0044361F"/>
    <w:rsid w:val="00450B1A"/>
    <w:rsid w:val="00453B49"/>
    <w:rsid w:val="00457179"/>
    <w:rsid w:val="0046397E"/>
    <w:rsid w:val="004666C0"/>
    <w:rsid w:val="004876F9"/>
    <w:rsid w:val="004A7240"/>
    <w:rsid w:val="004B384C"/>
    <w:rsid w:val="004B5CD9"/>
    <w:rsid w:val="004B7CF1"/>
    <w:rsid w:val="004C1FA0"/>
    <w:rsid w:val="004C22E8"/>
    <w:rsid w:val="004E3DD7"/>
    <w:rsid w:val="00500D25"/>
    <w:rsid w:val="00504231"/>
    <w:rsid w:val="00511305"/>
    <w:rsid w:val="00523E55"/>
    <w:rsid w:val="00532CB2"/>
    <w:rsid w:val="00533230"/>
    <w:rsid w:val="00547A56"/>
    <w:rsid w:val="00565588"/>
    <w:rsid w:val="00592F98"/>
    <w:rsid w:val="00596EC5"/>
    <w:rsid w:val="005B6EAA"/>
    <w:rsid w:val="005C1605"/>
    <w:rsid w:val="005C4AE4"/>
    <w:rsid w:val="005D0446"/>
    <w:rsid w:val="005F156F"/>
    <w:rsid w:val="005F56EB"/>
    <w:rsid w:val="0060428E"/>
    <w:rsid w:val="006072E0"/>
    <w:rsid w:val="0061360B"/>
    <w:rsid w:val="0063248A"/>
    <w:rsid w:val="006372DA"/>
    <w:rsid w:val="006562D0"/>
    <w:rsid w:val="00661F24"/>
    <w:rsid w:val="00672736"/>
    <w:rsid w:val="006A3EB1"/>
    <w:rsid w:val="006B2961"/>
    <w:rsid w:val="006C33CB"/>
    <w:rsid w:val="006C3D2A"/>
    <w:rsid w:val="006C5685"/>
    <w:rsid w:val="006C7516"/>
    <w:rsid w:val="006C7DD9"/>
    <w:rsid w:val="006D04D5"/>
    <w:rsid w:val="006E3273"/>
    <w:rsid w:val="006E6B7D"/>
    <w:rsid w:val="006F7BCD"/>
    <w:rsid w:val="007067E4"/>
    <w:rsid w:val="00713064"/>
    <w:rsid w:val="00720A5F"/>
    <w:rsid w:val="007338CE"/>
    <w:rsid w:val="00735A71"/>
    <w:rsid w:val="00741576"/>
    <w:rsid w:val="007552F3"/>
    <w:rsid w:val="00773671"/>
    <w:rsid w:val="00782296"/>
    <w:rsid w:val="007829EB"/>
    <w:rsid w:val="00790358"/>
    <w:rsid w:val="007905DA"/>
    <w:rsid w:val="007A0482"/>
    <w:rsid w:val="007B1F66"/>
    <w:rsid w:val="007B295A"/>
    <w:rsid w:val="007C50FD"/>
    <w:rsid w:val="00806A43"/>
    <w:rsid w:val="0080796E"/>
    <w:rsid w:val="00814A37"/>
    <w:rsid w:val="0082205A"/>
    <w:rsid w:val="008266C6"/>
    <w:rsid w:val="00826A54"/>
    <w:rsid w:val="00843314"/>
    <w:rsid w:val="00857017"/>
    <w:rsid w:val="0086083C"/>
    <w:rsid w:val="008612DC"/>
    <w:rsid w:val="00861364"/>
    <w:rsid w:val="0087428B"/>
    <w:rsid w:val="008804E1"/>
    <w:rsid w:val="00880C70"/>
    <w:rsid w:val="00895F89"/>
    <w:rsid w:val="008A1203"/>
    <w:rsid w:val="008A297D"/>
    <w:rsid w:val="008B2541"/>
    <w:rsid w:val="008E1BD4"/>
    <w:rsid w:val="009111FE"/>
    <w:rsid w:val="009132B6"/>
    <w:rsid w:val="009223B3"/>
    <w:rsid w:val="00923567"/>
    <w:rsid w:val="00944DA0"/>
    <w:rsid w:val="00957A33"/>
    <w:rsid w:val="0096525F"/>
    <w:rsid w:val="0096779F"/>
    <w:rsid w:val="0097002E"/>
    <w:rsid w:val="0097410F"/>
    <w:rsid w:val="0097452C"/>
    <w:rsid w:val="00975F59"/>
    <w:rsid w:val="009806EE"/>
    <w:rsid w:val="00982A8F"/>
    <w:rsid w:val="00993FF6"/>
    <w:rsid w:val="009948C3"/>
    <w:rsid w:val="009951C1"/>
    <w:rsid w:val="009B6C0F"/>
    <w:rsid w:val="009B7912"/>
    <w:rsid w:val="009C1BE5"/>
    <w:rsid w:val="009D6580"/>
    <w:rsid w:val="009F3027"/>
    <w:rsid w:val="00A001A3"/>
    <w:rsid w:val="00A00315"/>
    <w:rsid w:val="00A14F11"/>
    <w:rsid w:val="00A203A2"/>
    <w:rsid w:val="00A254D9"/>
    <w:rsid w:val="00A3618D"/>
    <w:rsid w:val="00A376D6"/>
    <w:rsid w:val="00A44D42"/>
    <w:rsid w:val="00A5730A"/>
    <w:rsid w:val="00A70D3F"/>
    <w:rsid w:val="00AC03E6"/>
    <w:rsid w:val="00AC3BF3"/>
    <w:rsid w:val="00AC6C5F"/>
    <w:rsid w:val="00AD3962"/>
    <w:rsid w:val="00AD4B16"/>
    <w:rsid w:val="00AE4CFA"/>
    <w:rsid w:val="00AF3052"/>
    <w:rsid w:val="00AF4B08"/>
    <w:rsid w:val="00B1586A"/>
    <w:rsid w:val="00B32488"/>
    <w:rsid w:val="00B35C1B"/>
    <w:rsid w:val="00B5171F"/>
    <w:rsid w:val="00B55FF9"/>
    <w:rsid w:val="00B62967"/>
    <w:rsid w:val="00B73DAE"/>
    <w:rsid w:val="00B748B8"/>
    <w:rsid w:val="00B83C26"/>
    <w:rsid w:val="00B93E28"/>
    <w:rsid w:val="00B97E4B"/>
    <w:rsid w:val="00BB3FD3"/>
    <w:rsid w:val="00BC5514"/>
    <w:rsid w:val="00BC6BD2"/>
    <w:rsid w:val="00BE6267"/>
    <w:rsid w:val="00BF5FE2"/>
    <w:rsid w:val="00C0690E"/>
    <w:rsid w:val="00C14938"/>
    <w:rsid w:val="00C150DC"/>
    <w:rsid w:val="00C15B4B"/>
    <w:rsid w:val="00C313E2"/>
    <w:rsid w:val="00C326E5"/>
    <w:rsid w:val="00C37263"/>
    <w:rsid w:val="00C42A76"/>
    <w:rsid w:val="00C42E7E"/>
    <w:rsid w:val="00C54705"/>
    <w:rsid w:val="00C56099"/>
    <w:rsid w:val="00C70B05"/>
    <w:rsid w:val="00C738AE"/>
    <w:rsid w:val="00C74611"/>
    <w:rsid w:val="00C753CB"/>
    <w:rsid w:val="00C779A4"/>
    <w:rsid w:val="00C839A1"/>
    <w:rsid w:val="00C95604"/>
    <w:rsid w:val="00C964E9"/>
    <w:rsid w:val="00CB7873"/>
    <w:rsid w:val="00CC2A32"/>
    <w:rsid w:val="00CC45C2"/>
    <w:rsid w:val="00CC4B0B"/>
    <w:rsid w:val="00CD7E96"/>
    <w:rsid w:val="00CF2281"/>
    <w:rsid w:val="00D01878"/>
    <w:rsid w:val="00D05625"/>
    <w:rsid w:val="00D1498F"/>
    <w:rsid w:val="00D3465D"/>
    <w:rsid w:val="00D379EB"/>
    <w:rsid w:val="00D4446B"/>
    <w:rsid w:val="00D44FD7"/>
    <w:rsid w:val="00D45A85"/>
    <w:rsid w:val="00D62F85"/>
    <w:rsid w:val="00D92DA4"/>
    <w:rsid w:val="00DA5C29"/>
    <w:rsid w:val="00DD2837"/>
    <w:rsid w:val="00DD56F2"/>
    <w:rsid w:val="00DE5B28"/>
    <w:rsid w:val="00DE6AED"/>
    <w:rsid w:val="00DF4CB8"/>
    <w:rsid w:val="00E00984"/>
    <w:rsid w:val="00E17C3F"/>
    <w:rsid w:val="00E23B5F"/>
    <w:rsid w:val="00E2651A"/>
    <w:rsid w:val="00E27603"/>
    <w:rsid w:val="00E27E8A"/>
    <w:rsid w:val="00E369BE"/>
    <w:rsid w:val="00E436D5"/>
    <w:rsid w:val="00E5671D"/>
    <w:rsid w:val="00E615FD"/>
    <w:rsid w:val="00E63C2A"/>
    <w:rsid w:val="00E90052"/>
    <w:rsid w:val="00E92CC8"/>
    <w:rsid w:val="00EB2C82"/>
    <w:rsid w:val="00EB3CC7"/>
    <w:rsid w:val="00ED0536"/>
    <w:rsid w:val="00ED310F"/>
    <w:rsid w:val="00ED3784"/>
    <w:rsid w:val="00ED6FFE"/>
    <w:rsid w:val="00ED7B66"/>
    <w:rsid w:val="00EE0F74"/>
    <w:rsid w:val="00EE116A"/>
    <w:rsid w:val="00F01D6C"/>
    <w:rsid w:val="00F12C2D"/>
    <w:rsid w:val="00F136B2"/>
    <w:rsid w:val="00F149BE"/>
    <w:rsid w:val="00F20E69"/>
    <w:rsid w:val="00F25E46"/>
    <w:rsid w:val="00F65565"/>
    <w:rsid w:val="00F66A0A"/>
    <w:rsid w:val="00F679D7"/>
    <w:rsid w:val="00F73150"/>
    <w:rsid w:val="00F95F03"/>
    <w:rsid w:val="00FA465C"/>
    <w:rsid w:val="00FA53CA"/>
    <w:rsid w:val="00FC55C1"/>
    <w:rsid w:val="00FE6F83"/>
    <w:rsid w:val="00FF4CAF"/>
    <w:rsid w:val="00FF6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ED76"/>
  <w15:docId w15:val="{695137E5-EEFD-4253-816E-D13179CB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4E9"/>
    <w:rPr>
      <w:rFonts w:eastAsiaTheme="minorEastAsia"/>
      <w:lang w:eastAsia="ru-RU"/>
    </w:rPr>
  </w:style>
  <w:style w:type="paragraph" w:styleId="1">
    <w:name w:val="heading 1"/>
    <w:basedOn w:val="a"/>
    <w:next w:val="a"/>
    <w:link w:val="10"/>
    <w:qFormat/>
    <w:rsid w:val="00C964E9"/>
    <w:pPr>
      <w:keepNext/>
      <w:spacing w:before="240" w:after="60" w:line="240" w:lineRule="auto"/>
      <w:outlineLvl w:val="0"/>
    </w:pPr>
    <w:rPr>
      <w:rFonts w:ascii="Arial" w:eastAsia="Times New Roman" w:hAnsi="Arial" w:cs="Times New Roman"/>
      <w:b/>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64E9"/>
    <w:rPr>
      <w:rFonts w:ascii="Arial" w:eastAsia="Times New Roman" w:hAnsi="Arial" w:cs="Times New Roman"/>
      <w:b/>
      <w:kern w:val="28"/>
      <w:sz w:val="28"/>
      <w:szCs w:val="20"/>
      <w:lang w:eastAsia="ru-RU"/>
    </w:rPr>
  </w:style>
  <w:style w:type="paragraph" w:styleId="a3">
    <w:name w:val="header"/>
    <w:basedOn w:val="a"/>
    <w:link w:val="a4"/>
    <w:uiPriority w:val="99"/>
    <w:unhideWhenUsed/>
    <w:rsid w:val="00975F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5F59"/>
    <w:rPr>
      <w:rFonts w:eastAsiaTheme="minorEastAsia"/>
      <w:lang w:eastAsia="ru-RU"/>
    </w:rPr>
  </w:style>
  <w:style w:type="paragraph" w:styleId="a5">
    <w:name w:val="footer"/>
    <w:basedOn w:val="a"/>
    <w:link w:val="a6"/>
    <w:uiPriority w:val="99"/>
    <w:semiHidden/>
    <w:unhideWhenUsed/>
    <w:rsid w:val="00975F5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75F59"/>
    <w:rPr>
      <w:rFonts w:eastAsiaTheme="minorEastAsia"/>
      <w:lang w:eastAsia="ru-RU"/>
    </w:rPr>
  </w:style>
  <w:style w:type="paragraph" w:styleId="a7">
    <w:name w:val="Balloon Text"/>
    <w:basedOn w:val="a"/>
    <w:link w:val="a8"/>
    <w:uiPriority w:val="99"/>
    <w:semiHidden/>
    <w:unhideWhenUsed/>
    <w:rsid w:val="00D0187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01878"/>
    <w:rPr>
      <w:rFonts w:ascii="Tahoma" w:eastAsiaTheme="minorEastAsia" w:hAnsi="Tahoma" w:cs="Tahoma"/>
      <w:sz w:val="16"/>
      <w:szCs w:val="16"/>
      <w:lang w:eastAsia="ru-RU"/>
    </w:rPr>
  </w:style>
  <w:style w:type="paragraph" w:styleId="a9">
    <w:name w:val="List Paragraph"/>
    <w:basedOn w:val="a"/>
    <w:uiPriority w:val="34"/>
    <w:qFormat/>
    <w:rsid w:val="00500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78179">
      <w:bodyDiv w:val="1"/>
      <w:marLeft w:val="0"/>
      <w:marRight w:val="0"/>
      <w:marTop w:val="0"/>
      <w:marBottom w:val="0"/>
      <w:divBdr>
        <w:top w:val="none" w:sz="0" w:space="0" w:color="auto"/>
        <w:left w:val="none" w:sz="0" w:space="0" w:color="auto"/>
        <w:bottom w:val="none" w:sz="0" w:space="0" w:color="auto"/>
        <w:right w:val="none" w:sz="0" w:space="0" w:color="auto"/>
      </w:divBdr>
    </w:div>
    <w:div w:id="187644542">
      <w:bodyDiv w:val="1"/>
      <w:marLeft w:val="0"/>
      <w:marRight w:val="0"/>
      <w:marTop w:val="0"/>
      <w:marBottom w:val="0"/>
      <w:divBdr>
        <w:top w:val="none" w:sz="0" w:space="0" w:color="auto"/>
        <w:left w:val="none" w:sz="0" w:space="0" w:color="auto"/>
        <w:bottom w:val="none" w:sz="0" w:space="0" w:color="auto"/>
        <w:right w:val="none" w:sz="0" w:space="0" w:color="auto"/>
      </w:divBdr>
    </w:div>
    <w:div w:id="200478446">
      <w:bodyDiv w:val="1"/>
      <w:marLeft w:val="0"/>
      <w:marRight w:val="0"/>
      <w:marTop w:val="0"/>
      <w:marBottom w:val="0"/>
      <w:divBdr>
        <w:top w:val="none" w:sz="0" w:space="0" w:color="auto"/>
        <w:left w:val="none" w:sz="0" w:space="0" w:color="auto"/>
        <w:bottom w:val="none" w:sz="0" w:space="0" w:color="auto"/>
        <w:right w:val="none" w:sz="0" w:space="0" w:color="auto"/>
      </w:divBdr>
    </w:div>
    <w:div w:id="353194291">
      <w:bodyDiv w:val="1"/>
      <w:marLeft w:val="0"/>
      <w:marRight w:val="0"/>
      <w:marTop w:val="0"/>
      <w:marBottom w:val="0"/>
      <w:divBdr>
        <w:top w:val="none" w:sz="0" w:space="0" w:color="auto"/>
        <w:left w:val="none" w:sz="0" w:space="0" w:color="auto"/>
        <w:bottom w:val="none" w:sz="0" w:space="0" w:color="auto"/>
        <w:right w:val="none" w:sz="0" w:space="0" w:color="auto"/>
      </w:divBdr>
    </w:div>
    <w:div w:id="569655186">
      <w:bodyDiv w:val="1"/>
      <w:marLeft w:val="0"/>
      <w:marRight w:val="0"/>
      <w:marTop w:val="0"/>
      <w:marBottom w:val="0"/>
      <w:divBdr>
        <w:top w:val="none" w:sz="0" w:space="0" w:color="auto"/>
        <w:left w:val="none" w:sz="0" w:space="0" w:color="auto"/>
        <w:bottom w:val="none" w:sz="0" w:space="0" w:color="auto"/>
        <w:right w:val="none" w:sz="0" w:space="0" w:color="auto"/>
      </w:divBdr>
    </w:div>
    <w:div w:id="983898494">
      <w:bodyDiv w:val="1"/>
      <w:marLeft w:val="0"/>
      <w:marRight w:val="0"/>
      <w:marTop w:val="0"/>
      <w:marBottom w:val="0"/>
      <w:divBdr>
        <w:top w:val="none" w:sz="0" w:space="0" w:color="auto"/>
        <w:left w:val="none" w:sz="0" w:space="0" w:color="auto"/>
        <w:bottom w:val="none" w:sz="0" w:space="0" w:color="auto"/>
        <w:right w:val="none" w:sz="0" w:space="0" w:color="auto"/>
      </w:divBdr>
    </w:div>
    <w:div w:id="1173032946">
      <w:bodyDiv w:val="1"/>
      <w:marLeft w:val="0"/>
      <w:marRight w:val="0"/>
      <w:marTop w:val="0"/>
      <w:marBottom w:val="0"/>
      <w:divBdr>
        <w:top w:val="none" w:sz="0" w:space="0" w:color="auto"/>
        <w:left w:val="none" w:sz="0" w:space="0" w:color="auto"/>
        <w:bottom w:val="none" w:sz="0" w:space="0" w:color="auto"/>
        <w:right w:val="none" w:sz="0" w:space="0" w:color="auto"/>
      </w:divBdr>
    </w:div>
    <w:div w:id="1782989520">
      <w:bodyDiv w:val="1"/>
      <w:marLeft w:val="0"/>
      <w:marRight w:val="0"/>
      <w:marTop w:val="0"/>
      <w:marBottom w:val="0"/>
      <w:divBdr>
        <w:top w:val="none" w:sz="0" w:space="0" w:color="auto"/>
        <w:left w:val="none" w:sz="0" w:space="0" w:color="auto"/>
        <w:bottom w:val="none" w:sz="0" w:space="0" w:color="auto"/>
        <w:right w:val="none" w:sz="0" w:space="0" w:color="auto"/>
      </w:divBdr>
    </w:div>
    <w:div w:id="1836679066">
      <w:bodyDiv w:val="1"/>
      <w:marLeft w:val="0"/>
      <w:marRight w:val="0"/>
      <w:marTop w:val="0"/>
      <w:marBottom w:val="0"/>
      <w:divBdr>
        <w:top w:val="none" w:sz="0" w:space="0" w:color="auto"/>
        <w:left w:val="none" w:sz="0" w:space="0" w:color="auto"/>
        <w:bottom w:val="none" w:sz="0" w:space="0" w:color="auto"/>
        <w:right w:val="none" w:sz="0" w:space="0" w:color="auto"/>
      </w:divBdr>
    </w:div>
    <w:div w:id="212338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834291961590547E-2"/>
          <c:y val="6.389888763904511E-2"/>
          <c:w val="0.91810493060496079"/>
          <c:h val="0.76096394200724904"/>
        </c:manualLayout>
      </c:layout>
      <c:barChart>
        <c:barDir val="col"/>
        <c:grouping val="clustered"/>
        <c:varyColors val="0"/>
        <c:ser>
          <c:idx val="0"/>
          <c:order val="0"/>
          <c:tx>
            <c:strRef>
              <c:f>Лист1!$B$1</c:f>
              <c:strCache>
                <c:ptCount val="1"/>
                <c:pt idx="0">
                  <c:v>собственные средства</c:v>
                </c:pt>
              </c:strCache>
            </c:strRef>
          </c:tx>
          <c:spPr>
            <a:solidFill>
              <a:schemeClr val="accent1"/>
            </a:solidFill>
            <a:ln w="9525" cap="flat" cmpd="sng" algn="ctr">
              <a:solidFill>
                <a:schemeClr val="lt1">
                  <a:shade val="95000"/>
                  <a:satMod val="105000"/>
                </a:schemeClr>
              </a:solidFill>
              <a:prstDash val="solid"/>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январь-декабрь 2020</c:v>
                </c:pt>
                <c:pt idx="1">
                  <c:v>январь-декабрь 2021</c:v>
                </c:pt>
                <c:pt idx="2">
                  <c:v>январь декабрь 2022</c:v>
                </c:pt>
              </c:strCache>
            </c:strRef>
          </c:cat>
          <c:val>
            <c:numRef>
              <c:f>Лист1!$B$2:$B$4</c:f>
              <c:numCache>
                <c:formatCode>General</c:formatCode>
                <c:ptCount val="3"/>
                <c:pt idx="0">
                  <c:v>215.05</c:v>
                </c:pt>
                <c:pt idx="1">
                  <c:v>198.66</c:v>
                </c:pt>
                <c:pt idx="2">
                  <c:v>459.36</c:v>
                </c:pt>
              </c:numCache>
            </c:numRef>
          </c:val>
          <c:extLst>
            <c:ext xmlns:c16="http://schemas.microsoft.com/office/drawing/2014/chart" uri="{C3380CC4-5D6E-409C-BE32-E72D297353CC}">
              <c16:uniqueId val="{00000000-4AE3-47C3-9E12-AD9BDFFC6DE8}"/>
            </c:ext>
          </c:extLst>
        </c:ser>
        <c:ser>
          <c:idx val="1"/>
          <c:order val="1"/>
          <c:tx>
            <c:strRef>
              <c:f>Лист1!$C$1</c:f>
              <c:strCache>
                <c:ptCount val="1"/>
                <c:pt idx="0">
                  <c:v>привлеченные средства</c:v>
                </c:pt>
              </c:strCache>
            </c:strRef>
          </c:tx>
          <c:spPr>
            <a:solidFill>
              <a:schemeClr val="accent3"/>
            </a:solidFill>
            <a:ln w="9525" cap="flat" cmpd="sng" algn="ctr">
              <a:solidFill>
                <a:schemeClr val="lt1">
                  <a:shade val="95000"/>
                  <a:satMod val="105000"/>
                </a:schemeClr>
              </a:solidFill>
              <a:prstDash val="solid"/>
              <a:round/>
            </a:ln>
            <a:effectLst>
              <a:outerShdw blurRad="40000" dist="20000" dir="5400000" rotWithShape="0">
                <a:srgbClr val="000000">
                  <a:alpha val="38000"/>
                </a:srgbClr>
              </a:outerShdw>
            </a:effectLst>
          </c:spPr>
          <c:invertIfNegative val="0"/>
          <c:dPt>
            <c:idx val="0"/>
            <c:invertIfNegative val="0"/>
            <c:bubble3D val="0"/>
            <c:spPr>
              <a:solidFill>
                <a:schemeClr val="accent3"/>
              </a:solidFill>
              <a:ln w="9525" cap="flat" cmpd="sng" algn="ctr">
                <a:solidFill>
                  <a:schemeClr val="lt1">
                    <a:shade val="95000"/>
                    <a:satMod val="105000"/>
                  </a:schemeClr>
                </a:solidFill>
                <a:prstDash val="solid"/>
                <a:round/>
              </a:ln>
              <a:effectLst>
                <a:outerShdw blurRad="40000" dist="20000" dir="5400000" rotWithShape="0">
                  <a:srgbClr val="000000">
                    <a:alpha val="38000"/>
                  </a:srgbClr>
                </a:outerShdw>
              </a:effectLst>
            </c:spPr>
            <c:extLst>
              <c:ext xmlns:c16="http://schemas.microsoft.com/office/drawing/2014/chart" uri="{C3380CC4-5D6E-409C-BE32-E72D297353CC}">
                <c16:uniqueId val="{00000001-4AE3-47C3-9E12-AD9BDFFC6DE8}"/>
              </c:ext>
            </c:extLst>
          </c:dPt>
          <c:dPt>
            <c:idx val="1"/>
            <c:invertIfNegative val="0"/>
            <c:bubble3D val="0"/>
            <c:spPr>
              <a:solidFill>
                <a:schemeClr val="accent3"/>
              </a:solidFill>
              <a:ln w="9525" cap="flat" cmpd="sng" algn="ctr">
                <a:solidFill>
                  <a:schemeClr val="lt1">
                    <a:shade val="95000"/>
                    <a:satMod val="105000"/>
                  </a:schemeClr>
                </a:solidFill>
                <a:prstDash val="solid"/>
                <a:round/>
              </a:ln>
              <a:effectLst>
                <a:outerShdw blurRad="40000" dist="20000" dir="5400000" rotWithShape="0">
                  <a:srgbClr val="000000">
                    <a:alpha val="38000"/>
                  </a:srgbClr>
                </a:outerShdw>
              </a:effectLst>
            </c:spPr>
            <c:extLst>
              <c:ext xmlns:c16="http://schemas.microsoft.com/office/drawing/2014/chart" uri="{C3380CC4-5D6E-409C-BE32-E72D297353CC}">
                <c16:uniqueId val="{00000002-4AE3-47C3-9E12-AD9BDFFC6DE8}"/>
              </c:ext>
            </c:extLst>
          </c:dPt>
          <c:dLbls>
            <c:dLbl>
              <c:idx val="1"/>
              <c:tx>
                <c:rich>
                  <a:bodyPr/>
                  <a:lstStyle/>
                  <a:p>
                    <a:r>
                      <a:rPr lang="en-US"/>
                      <a:t>179,55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AE3-47C3-9E12-AD9BDFFC6DE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январь-декабрь 2020</c:v>
                </c:pt>
                <c:pt idx="1">
                  <c:v>январь-декабрь 2021</c:v>
                </c:pt>
                <c:pt idx="2">
                  <c:v>январь декабрь 2022</c:v>
                </c:pt>
              </c:strCache>
            </c:strRef>
          </c:cat>
          <c:val>
            <c:numRef>
              <c:f>Лист1!$C$2:$C$4</c:f>
              <c:numCache>
                <c:formatCode>General</c:formatCode>
                <c:ptCount val="3"/>
                <c:pt idx="0">
                  <c:v>179.78</c:v>
                </c:pt>
                <c:pt idx="1">
                  <c:v>208.45</c:v>
                </c:pt>
                <c:pt idx="2">
                  <c:v>295.11</c:v>
                </c:pt>
              </c:numCache>
            </c:numRef>
          </c:val>
          <c:extLst>
            <c:ext xmlns:c16="http://schemas.microsoft.com/office/drawing/2014/chart" uri="{C3380CC4-5D6E-409C-BE32-E72D297353CC}">
              <c16:uniqueId val="{00000003-4AE3-47C3-9E12-AD9BDFFC6DE8}"/>
            </c:ext>
          </c:extLst>
        </c:ser>
        <c:dLbls>
          <c:showLegendKey val="0"/>
          <c:showVal val="0"/>
          <c:showCatName val="0"/>
          <c:showSerName val="0"/>
          <c:showPercent val="0"/>
          <c:showBubbleSize val="0"/>
        </c:dLbls>
        <c:gapWidth val="325"/>
        <c:overlap val="-2"/>
        <c:axId val="131284992"/>
        <c:axId val="131286528"/>
      </c:barChart>
      <c:catAx>
        <c:axId val="131284992"/>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131286528"/>
        <c:crosses val="autoZero"/>
        <c:auto val="1"/>
        <c:lblAlgn val="ctr"/>
        <c:lblOffset val="100"/>
        <c:noMultiLvlLbl val="0"/>
      </c:catAx>
      <c:valAx>
        <c:axId val="13128652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131284992"/>
        <c:crosses val="autoZero"/>
        <c:crossBetween val="between"/>
      </c:val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1" u="none" strike="noStrike" kern="1200" baseline="0">
                <a:solidFill>
                  <a:schemeClr val="tx1"/>
                </a:solidFill>
                <a:latin typeface="Times New Roman" pitchFamily="18" charset="0"/>
                <a:ea typeface="+mn-ea"/>
                <a:cs typeface="Times New Roman" pitchFamily="18" charset="0"/>
              </a:defRPr>
            </a:pPr>
            <a:r>
              <a:rPr lang="ru-RU" sz="1300" b="1" i="1">
                <a:latin typeface="Times New Roman" pitchFamily="18" charset="0"/>
                <a:cs typeface="Times New Roman" pitchFamily="18" charset="0"/>
              </a:rPr>
              <a:t>Распределение инвестиций в основной капитал крупных и средних предприятий по направлениям основных фондов </a:t>
            </a:r>
          </a:p>
          <a:p>
            <a:pPr>
              <a:defRPr sz="1100" b="0" i="1">
                <a:latin typeface="Times New Roman" pitchFamily="18" charset="0"/>
                <a:cs typeface="Times New Roman" pitchFamily="18" charset="0"/>
              </a:defRPr>
            </a:pPr>
            <a:r>
              <a:rPr lang="ru-RU" sz="1300" b="1" i="1">
                <a:latin typeface="Times New Roman" pitchFamily="18" charset="0"/>
                <a:cs typeface="Times New Roman" pitchFamily="18" charset="0"/>
              </a:rPr>
              <a:t>за январь-декабрь 2022 года, млн. руб.</a:t>
            </a:r>
          </a:p>
        </c:rich>
      </c:tx>
      <c:overlay val="0"/>
      <c:spPr>
        <a:noFill/>
        <a:ln>
          <a:noFill/>
        </a:ln>
        <a:effectLst/>
      </c:spPr>
      <c:txPr>
        <a:bodyPr rot="0" spcFirstLastPara="1" vertOverflow="ellipsis" vert="horz" wrap="square" anchor="ctr" anchorCtr="1"/>
        <a:lstStyle/>
        <a:p>
          <a:pPr>
            <a:defRPr sz="1100" b="0" i="1" u="none" strike="noStrike" kern="1200" baseline="0">
              <a:solidFill>
                <a:schemeClr val="tx1"/>
              </a:solidFill>
              <a:latin typeface="Times New Roman" pitchFamily="18" charset="0"/>
              <a:ea typeface="+mn-ea"/>
              <a:cs typeface="Times New Roman" pitchFamily="18" charset="0"/>
            </a:defRPr>
          </a:pPr>
          <a:endParaRPr lang="ru-RU"/>
        </a:p>
      </c:txPr>
    </c:title>
    <c:autoTitleDeleted val="0"/>
    <c:view3D>
      <c:rotX val="30"/>
      <c:rotY val="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0033658039234994E-2"/>
          <c:y val="0.3064298212723417"/>
          <c:w val="0.56174022708939952"/>
          <c:h val="0.60077146606674225"/>
        </c:manualLayout>
      </c:layout>
      <c:pie3DChart>
        <c:varyColors val="1"/>
        <c:ser>
          <c:idx val="0"/>
          <c:order val="0"/>
          <c:tx>
            <c:strRef>
              <c:f>Лист1!$B$1</c:f>
              <c:strCache>
                <c:ptCount val="1"/>
                <c:pt idx="0">
                  <c:v>Распределение инвестиций в основной капитал крупных и средних предприятий по направлениям основных фондов за январь-декабрь 2017 года</c:v>
                </c:pt>
              </c:strCache>
            </c:strRef>
          </c:tx>
          <c:dPt>
            <c:idx val="0"/>
            <c:bubble3D val="0"/>
            <c:explosion val="7"/>
            <c:spPr>
              <a:solidFill>
                <a:schemeClr val="accent1"/>
              </a:solidFill>
              <a:ln>
                <a:noFill/>
              </a:ln>
              <a:effectLst/>
              <a:sp3d/>
            </c:spPr>
            <c:extLst>
              <c:ext xmlns:c16="http://schemas.microsoft.com/office/drawing/2014/chart" uri="{C3380CC4-5D6E-409C-BE32-E72D297353CC}">
                <c16:uniqueId val="{00000000-6CBC-481B-8690-91426EAF117F}"/>
              </c:ext>
            </c:extLst>
          </c:dPt>
          <c:dPt>
            <c:idx val="1"/>
            <c:bubble3D val="0"/>
            <c:explosion val="12"/>
            <c:spPr>
              <a:solidFill>
                <a:schemeClr val="accent3"/>
              </a:solidFill>
              <a:ln>
                <a:noFill/>
              </a:ln>
              <a:effectLst/>
              <a:sp3d/>
            </c:spPr>
            <c:extLst>
              <c:ext xmlns:c16="http://schemas.microsoft.com/office/drawing/2014/chart" uri="{C3380CC4-5D6E-409C-BE32-E72D297353CC}">
                <c16:uniqueId val="{00000001-6CBC-481B-8690-91426EAF117F}"/>
              </c:ext>
            </c:extLst>
          </c:dPt>
          <c:dPt>
            <c:idx val="2"/>
            <c:bubble3D val="0"/>
            <c:explosion val="6"/>
            <c:spPr>
              <a:solidFill>
                <a:schemeClr val="accent5"/>
              </a:solidFill>
              <a:ln>
                <a:noFill/>
              </a:ln>
              <a:effectLst/>
              <a:sp3d/>
            </c:spPr>
            <c:extLst>
              <c:ext xmlns:c16="http://schemas.microsoft.com/office/drawing/2014/chart" uri="{C3380CC4-5D6E-409C-BE32-E72D297353CC}">
                <c16:uniqueId val="{00000002-6CBC-481B-8690-91426EAF117F}"/>
              </c:ext>
            </c:extLst>
          </c:dPt>
          <c:dPt>
            <c:idx val="3"/>
            <c:bubble3D val="0"/>
            <c:explosion val="9"/>
            <c:spPr>
              <a:solidFill>
                <a:schemeClr val="accent1">
                  <a:lumMod val="60000"/>
                </a:schemeClr>
              </a:solidFill>
              <a:ln>
                <a:noFill/>
              </a:ln>
              <a:effectLst/>
              <a:sp3d/>
            </c:spPr>
            <c:extLst>
              <c:ext xmlns:c16="http://schemas.microsoft.com/office/drawing/2014/chart" uri="{C3380CC4-5D6E-409C-BE32-E72D297353CC}">
                <c16:uniqueId val="{00000003-6CBC-481B-8690-91426EAF117F}"/>
              </c:ext>
            </c:extLst>
          </c:dPt>
          <c:dPt>
            <c:idx val="4"/>
            <c:bubble3D val="0"/>
            <c:spPr>
              <a:solidFill>
                <a:schemeClr val="accent3">
                  <a:lumMod val="60000"/>
                </a:schemeClr>
              </a:solidFill>
              <a:ln>
                <a:noFill/>
              </a:ln>
              <a:effectLst/>
              <a:sp3d/>
            </c:spPr>
            <c:extLst>
              <c:ext xmlns:c16="http://schemas.microsoft.com/office/drawing/2014/chart" uri="{C3380CC4-5D6E-409C-BE32-E72D297353CC}">
                <c16:uniqueId val="{00000009-3295-4117-8519-0BB650347CFA}"/>
              </c:ext>
            </c:extLst>
          </c:dPt>
          <c:dLbls>
            <c:dLbl>
              <c:idx val="0"/>
              <c:layout>
                <c:manualLayout>
                  <c:x val="-0.26191326708186441"/>
                  <c:y val="-1.376488041734502E-2"/>
                </c:manualLayout>
              </c:layout>
              <c:tx>
                <c:rich>
                  <a:bodyPr/>
                  <a:lstStyle/>
                  <a:p>
                    <a:r>
                      <a:rPr lang="en-US"/>
                      <a:t>400,76</a:t>
                    </a:r>
                  </a:p>
                </c:rich>
              </c:tx>
              <c:showLegendKey val="0"/>
              <c:showVal val="1"/>
              <c:showCatName val="0"/>
              <c:showSerName val="0"/>
              <c:showPercent val="0"/>
              <c:showBubbleSize val="0"/>
              <c:extLst>
                <c:ext xmlns:c15="http://schemas.microsoft.com/office/drawing/2012/chart" uri="{CE6537A1-D6FC-4f65-9D91-7224C49458BB}">
                  <c15:layout>
                    <c:manualLayout>
                      <c:w val="0.1259593564844956"/>
                      <c:h val="8.3287671232876712E-2"/>
                    </c:manualLayout>
                  </c15:layout>
                </c:ext>
                <c:ext xmlns:c16="http://schemas.microsoft.com/office/drawing/2014/chart" uri="{C3380CC4-5D6E-409C-BE32-E72D297353CC}">
                  <c16:uniqueId val="{00000000-6CBC-481B-8690-91426EAF117F}"/>
                </c:ext>
              </c:extLst>
            </c:dLbl>
            <c:dLbl>
              <c:idx val="1"/>
              <c:tx>
                <c:rich>
                  <a:bodyPr/>
                  <a:lstStyle/>
                  <a:p>
                    <a:r>
                      <a:rPr lang="en-US"/>
                      <a:t>161,3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BC-481B-8690-91426EAF117F}"/>
                </c:ext>
              </c:extLst>
            </c:dLbl>
            <c:dLbl>
              <c:idx val="2"/>
              <c:layout>
                <c:manualLayout>
                  <c:x val="9.729859430597694E-2"/>
                  <c:y val="1.1121130406644374E-2"/>
                </c:manualLayout>
              </c:layout>
              <c:tx>
                <c:rich>
                  <a:bodyPr/>
                  <a:lstStyle/>
                  <a:p>
                    <a:r>
                      <a:rPr lang="en-US"/>
                      <a:t>112,7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CBC-481B-8690-91426EAF117F}"/>
                </c:ext>
              </c:extLst>
            </c:dLbl>
            <c:dLbl>
              <c:idx val="3"/>
              <c:tx>
                <c:rich>
                  <a:bodyPr/>
                  <a:lstStyle/>
                  <a:p>
                    <a:r>
                      <a:rPr lang="en-US"/>
                      <a:t>79,71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BC-481B-8690-91426EAF117F}"/>
                </c:ext>
              </c:extLst>
            </c:dLbl>
            <c:spPr>
              <a:noFill/>
              <a:ln>
                <a:noFill/>
              </a:ln>
              <a:effectLst/>
            </c:spPr>
            <c:txPr>
              <a:bodyPr rot="0" spcFirstLastPara="1" vertOverflow="ellipsis" vert="horz" wrap="square" anchor="ctr" anchorCtr="1"/>
              <a:lstStyle/>
              <a:p>
                <a:pPr>
                  <a:defRPr sz="1200" b="1" i="0" u="none" strike="noStrike" kern="1200" baseline="0">
                    <a:solidFill>
                      <a:srgbClr val="FFFF00"/>
                    </a:solidFill>
                    <a:latin typeface="Times New Roman" pitchFamily="18" charset="0"/>
                    <a:ea typeface="+mn-ea"/>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Лист1!$A$2:$A$6</c:f>
              <c:strCache>
                <c:ptCount val="4"/>
                <c:pt idx="0">
                  <c:v>машины, оборудование</c:v>
                </c:pt>
                <c:pt idx="1">
                  <c:v>здания (кроме жилых) и сооружения</c:v>
                </c:pt>
                <c:pt idx="2">
                  <c:v>транспортные средства</c:v>
                </c:pt>
                <c:pt idx="3">
                  <c:v>прочие </c:v>
                </c:pt>
              </c:strCache>
            </c:strRef>
          </c:cat>
          <c:val>
            <c:numRef>
              <c:f>Лист1!$B$2:$B$6</c:f>
              <c:numCache>
                <c:formatCode>General</c:formatCode>
                <c:ptCount val="5"/>
                <c:pt idx="0">
                  <c:v>400.76</c:v>
                </c:pt>
                <c:pt idx="1">
                  <c:v>161.30000000000001</c:v>
                </c:pt>
                <c:pt idx="2">
                  <c:v>112.7</c:v>
                </c:pt>
                <c:pt idx="3">
                  <c:v>79.709999999999994</c:v>
                </c:pt>
              </c:numCache>
            </c:numRef>
          </c:val>
          <c:extLst>
            <c:ext xmlns:c16="http://schemas.microsoft.com/office/drawing/2014/chart" uri="{C3380CC4-5D6E-409C-BE32-E72D297353CC}">
              <c16:uniqueId val="{00000004-6CBC-481B-8690-91426EAF117F}"/>
            </c:ext>
          </c:extLst>
        </c:ser>
        <c:dLbls>
          <c:showLegendKey val="0"/>
          <c:showVal val="0"/>
          <c:showCatName val="0"/>
          <c:showSerName val="0"/>
          <c:showPercent val="0"/>
          <c:showBubbleSize val="0"/>
          <c:showLeaderLines val="0"/>
        </c:dLbls>
      </c:pie3DChart>
      <c:spPr>
        <a:noFill/>
        <a:ln w="25400">
          <a:noFill/>
        </a:ln>
        <a:effectLst/>
      </c:spPr>
    </c:plotArea>
    <c:legend>
      <c:legendPos val="r"/>
      <c:legendEntry>
        <c:idx val="4"/>
        <c:delete val="1"/>
      </c:legendEntry>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itchFamily="18" charset="0"/>
              <a:ea typeface="+mn-ea"/>
              <a:cs typeface="Times New Roman" pitchFamily="18" charset="0"/>
            </a:defRPr>
          </a:pPr>
          <a:endParaRPr lang="ru-RU"/>
        </a:p>
      </c:txPr>
    </c:legend>
    <c:plotVisOnly val="1"/>
    <c:dispBlanksAs val="gap"/>
    <c:showDLblsOverMax val="0"/>
  </c:chart>
  <c:spPr>
    <a:solidFill>
      <a:schemeClr val="bg1"/>
    </a:solidFill>
    <a:ln w="9525" cap="flat" cmpd="sng" algn="ctr">
      <a:noFill/>
      <a:prstDash val="solid"/>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10">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a:schemeClr val="lt1"/>
    </cs:lnRef>
    <cs:fillRef idx="1">
      <cs:styleClr val="auto"/>
    </cs:fillRef>
    <cs:effectRef idx="1">
      <a:schemeClr val="dk1"/>
    </cs:effectRef>
    <cs:fontRef idx="minor">
      <a:schemeClr val="tx1"/>
    </cs:fontRef>
    <cs:spPr>
      <a:ln>
        <a:round/>
      </a:ln>
    </cs:spPr>
  </cs:dataPoint>
  <cs:dataPoint3D>
    <cs:lnRef idx="1">
      <a:schemeClr val="lt1"/>
    </cs:lnRef>
    <cs:fillRef idx="1">
      <cs:styleClr val="auto"/>
    </cs:fillRef>
    <cs:effectRef idx="1">
      <a:schemeClr val="dk1"/>
    </cs:effectRef>
    <cs:fontRef idx="minor">
      <a:schemeClr val="tx1"/>
    </cs:fontRef>
    <cs:spPr>
      <a:ln>
        <a:round/>
      </a:ln>
    </cs:spPr>
  </cs:dataPoint3D>
  <cs:dataPointLine>
    <cs:lnRef idx="1">
      <cs:styleClr val="auto"/>
    </cs:lnRef>
    <cs:lineWidthScale>5</cs:lineWidthScale>
    <cs:fillRef idx="0"/>
    <cs:effectRef idx="0"/>
    <cs:fontRef idx="minor">
      <a:schemeClr val="tx1"/>
    </cs:fontRef>
    <cs:spPr>
      <a:ln cap="rnd">
        <a:round/>
      </a:ln>
    </cs:spPr>
  </cs:dataPointLine>
  <cs:dataPointMarker>
    <cs:lnRef idx="1">
      <cs:styleClr val="auto"/>
    </cs:lnRef>
    <cs:fillRef idx="1">
      <cs:styleClr val="auto"/>
    </cs:fillRef>
    <cs:effectRef idx="1">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1">
      <a:schemeClr val="dk1"/>
    </cs:effectRef>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1">
      <a:schemeClr val="dk1"/>
    </cs:effectRef>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1092</Words>
  <Characters>6229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root</cp:lastModifiedBy>
  <cp:revision>6</cp:revision>
  <cp:lastPrinted>2023-05-24T07:17:00Z</cp:lastPrinted>
  <dcterms:created xsi:type="dcterms:W3CDTF">2023-05-24T03:58:00Z</dcterms:created>
  <dcterms:modified xsi:type="dcterms:W3CDTF">2023-05-24T07:17:00Z</dcterms:modified>
</cp:coreProperties>
</file>