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423529">
        <w:rPr>
          <w:b/>
          <w:bCs/>
          <w:spacing w:val="20"/>
        </w:rPr>
        <w:t>ПОКРОВСКОГО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F03325" w:rsidP="006071A5">
      <w:pPr>
        <w:rPr>
          <w:rFonts w:ascii="Arial" w:hAnsi="Arial" w:cs="Arial"/>
        </w:rPr>
      </w:pPr>
      <w:r>
        <w:rPr>
          <w:rFonts w:ascii="Arial" w:hAnsi="Arial" w:cs="Arial"/>
        </w:rPr>
        <w:t>23.03.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r w:rsidR="006071A5" w:rsidRPr="006071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13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>с.</w:t>
      </w:r>
      <w:r w:rsidR="00F03325">
        <w:rPr>
          <w:rFonts w:ascii="Arial" w:hAnsi="Arial" w:cs="Arial"/>
          <w:b/>
          <w:bCs/>
          <w:sz w:val="18"/>
          <w:szCs w:val="18"/>
        </w:rPr>
        <w:t xml:space="preserve"> </w:t>
      </w:r>
      <w:r w:rsidR="00423529">
        <w:rPr>
          <w:rFonts w:ascii="Arial" w:hAnsi="Arial" w:cs="Arial"/>
          <w:b/>
          <w:bCs/>
          <w:sz w:val="18"/>
          <w:szCs w:val="18"/>
        </w:rPr>
        <w:t>Покровка</w:t>
      </w:r>
      <w:r w:rsidRPr="006071A5">
        <w:rPr>
          <w:rFonts w:ascii="Arial" w:hAnsi="Arial" w:cs="Arial"/>
        </w:rPr>
        <w:t xml:space="preserve">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</w:tblGrid>
      <w:tr w:rsidR="006071A5" w:rsidRPr="006071A5" w:rsidTr="00DA30F4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423529">
        <w:rPr>
          <w:spacing w:val="3"/>
          <w:sz w:val="26"/>
          <w:szCs w:val="26"/>
        </w:rPr>
        <w:t>Покровский</w:t>
      </w:r>
      <w:r w:rsidRPr="006071A5">
        <w:rPr>
          <w:spacing w:val="3"/>
          <w:sz w:val="26"/>
          <w:szCs w:val="26"/>
        </w:rPr>
        <w:t xml:space="preserve"> сельсовет </w:t>
      </w:r>
      <w:proofErr w:type="spellStart"/>
      <w:r w:rsidRPr="006071A5">
        <w:rPr>
          <w:spacing w:val="3"/>
          <w:sz w:val="26"/>
          <w:szCs w:val="26"/>
        </w:rPr>
        <w:t>Топчихинского</w:t>
      </w:r>
      <w:proofErr w:type="spellEnd"/>
      <w:r w:rsidRPr="006071A5">
        <w:rPr>
          <w:spacing w:val="3"/>
          <w:sz w:val="26"/>
          <w:szCs w:val="26"/>
        </w:rPr>
        <w:t xml:space="preserve">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423529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14.10</w:t>
      </w:r>
      <w:r w:rsidR="00CF7001" w:rsidRPr="00CF7001">
        <w:rPr>
          <w:rFonts w:ascii="Times New Roman" w:hAnsi="Times New Roman"/>
          <w:sz w:val="26"/>
          <w:szCs w:val="26"/>
        </w:rPr>
        <w:t xml:space="preserve">.2013 № </w:t>
      </w:r>
      <w:r>
        <w:rPr>
          <w:rFonts w:ascii="Times New Roman" w:hAnsi="Times New Roman"/>
          <w:sz w:val="26"/>
          <w:szCs w:val="26"/>
        </w:rPr>
        <w:t>44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423529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04</w:t>
      </w:r>
      <w:r w:rsidR="00CF7001" w:rsidRPr="00CF70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10.2018 № 2</w:t>
      </w:r>
      <w:r w:rsidR="00CF7001" w:rsidRPr="00CF7001">
        <w:rPr>
          <w:rFonts w:ascii="Times New Roman" w:hAnsi="Times New Roman"/>
          <w:sz w:val="26"/>
          <w:szCs w:val="26"/>
        </w:rPr>
        <w:t xml:space="preserve">8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>
        <w:rPr>
          <w:rFonts w:ascii="Times New Roman" w:hAnsi="Times New Roman"/>
          <w:sz w:val="26"/>
          <w:szCs w:val="26"/>
        </w:rPr>
        <w:t>14</w:t>
      </w:r>
      <w:r w:rsidR="00CF7001" w:rsidRPr="00CF70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CF7001" w:rsidRPr="00CF7001">
        <w:rPr>
          <w:rFonts w:ascii="Times New Roman" w:hAnsi="Times New Roman"/>
          <w:sz w:val="26"/>
          <w:szCs w:val="26"/>
        </w:rPr>
        <w:t xml:space="preserve">. 2013 № </w:t>
      </w:r>
      <w:r>
        <w:rPr>
          <w:rFonts w:ascii="Times New Roman" w:hAnsi="Times New Roman"/>
          <w:sz w:val="26"/>
          <w:szCs w:val="26"/>
        </w:rPr>
        <w:t>44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</w:t>
      </w:r>
      <w:r w:rsidR="00423529">
        <w:rPr>
          <w:rFonts w:ascii="Times New Roman" w:hAnsi="Times New Roman"/>
          <w:sz w:val="26"/>
          <w:szCs w:val="26"/>
        </w:rPr>
        <w:t>28.01</w:t>
      </w:r>
      <w:r w:rsidRPr="00CF7001">
        <w:rPr>
          <w:rFonts w:ascii="Times New Roman" w:hAnsi="Times New Roman"/>
          <w:sz w:val="26"/>
          <w:szCs w:val="26"/>
        </w:rPr>
        <w:t xml:space="preserve">.2019 № </w:t>
      </w:r>
      <w:r w:rsidR="00423529">
        <w:rPr>
          <w:rFonts w:ascii="Times New Roman" w:hAnsi="Times New Roman"/>
          <w:sz w:val="26"/>
          <w:szCs w:val="26"/>
        </w:rPr>
        <w:t>7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</w:t>
      </w:r>
      <w:r w:rsidR="00423529" w:rsidRPr="00423529">
        <w:rPr>
          <w:rFonts w:ascii="Times New Roman" w:hAnsi="Times New Roman"/>
          <w:sz w:val="26"/>
          <w:szCs w:val="26"/>
        </w:rPr>
        <w:t>14.10. 2013 № 44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423529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24</w:t>
      </w:r>
      <w:r w:rsidR="00CF7001" w:rsidRPr="00CF7001">
        <w:rPr>
          <w:rFonts w:ascii="Times New Roman" w:hAnsi="Times New Roman"/>
          <w:sz w:val="26"/>
          <w:szCs w:val="26"/>
        </w:rPr>
        <w:t xml:space="preserve">.06.2019 № </w:t>
      </w:r>
      <w:r>
        <w:rPr>
          <w:rFonts w:ascii="Times New Roman" w:hAnsi="Times New Roman"/>
          <w:sz w:val="26"/>
          <w:szCs w:val="26"/>
        </w:rPr>
        <w:t>42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Pr="00423529">
        <w:rPr>
          <w:rFonts w:ascii="Times New Roman" w:hAnsi="Times New Roman"/>
          <w:sz w:val="26"/>
          <w:szCs w:val="26"/>
        </w:rPr>
        <w:t>14.10. 2013 № 44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423529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16.06.2021 № 18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3529">
        <w:rPr>
          <w:rFonts w:ascii="Times New Roman" w:hAnsi="Times New Roman"/>
          <w:sz w:val="26"/>
          <w:szCs w:val="26"/>
        </w:rPr>
        <w:t>14.10. 2013 № 44</w:t>
      </w:r>
      <w:r w:rsidR="00CF7001" w:rsidRPr="00CF7001">
        <w:rPr>
          <w:rFonts w:ascii="Times New Roman" w:hAnsi="Times New Roman"/>
          <w:sz w:val="26"/>
          <w:szCs w:val="26"/>
        </w:rPr>
        <w:t>».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423529" w:rsidRDefault="00423529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</w:p>
    <w:p w:rsidR="006071A5" w:rsidRPr="006071A5" w:rsidRDefault="00423529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071A5" w:rsidRPr="006071A5">
        <w:rPr>
          <w:sz w:val="26"/>
          <w:szCs w:val="26"/>
        </w:rPr>
        <w:t xml:space="preserve">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C334E0">
        <w:rPr>
          <w:sz w:val="26"/>
          <w:szCs w:val="26"/>
        </w:rPr>
        <w:t xml:space="preserve">          </w:t>
      </w:r>
      <w:r w:rsidR="00CF7001" w:rsidRPr="00CF700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С.В. </w:t>
      </w:r>
      <w:proofErr w:type="spellStart"/>
      <w:r>
        <w:rPr>
          <w:sz w:val="26"/>
          <w:szCs w:val="26"/>
        </w:rPr>
        <w:t>Козицин</w:t>
      </w:r>
      <w:proofErr w:type="spellEnd"/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сельсовета от</w:t>
      </w:r>
      <w:r w:rsidR="00F03325">
        <w:rPr>
          <w:sz w:val="26"/>
          <w:szCs w:val="26"/>
        </w:rPr>
        <w:t xml:space="preserve"> </w:t>
      </w:r>
      <w:bookmarkStart w:id="0" w:name="_GoBack"/>
      <w:bookmarkEnd w:id="0"/>
      <w:r w:rsidR="00F03325">
        <w:rPr>
          <w:sz w:val="26"/>
          <w:szCs w:val="26"/>
        </w:rPr>
        <w:t>23.03.</w:t>
      </w:r>
      <w:r w:rsidRPr="009E734B">
        <w:rPr>
          <w:sz w:val="26"/>
          <w:szCs w:val="26"/>
        </w:rPr>
        <w:t xml:space="preserve">2023 № </w:t>
      </w:r>
      <w:r w:rsidR="00F03325">
        <w:rPr>
          <w:sz w:val="26"/>
          <w:szCs w:val="26"/>
        </w:rPr>
        <w:t>13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423529">
        <w:rPr>
          <w:bCs/>
          <w:color w:val="000000"/>
          <w:sz w:val="26"/>
          <w:szCs w:val="26"/>
        </w:rPr>
        <w:t>Покровского</w:t>
      </w:r>
      <w:r w:rsidRPr="009E734B">
        <w:rPr>
          <w:bCs/>
          <w:color w:val="000000"/>
          <w:sz w:val="26"/>
          <w:szCs w:val="26"/>
        </w:rPr>
        <w:t xml:space="preserve"> сельсовета </w:t>
      </w:r>
      <w:proofErr w:type="spellStart"/>
      <w:r w:rsidRPr="009E734B">
        <w:rPr>
          <w:bCs/>
          <w:color w:val="000000"/>
          <w:sz w:val="26"/>
          <w:szCs w:val="26"/>
        </w:rPr>
        <w:t>Топчихинского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 xml:space="preserve">Федерации - при их наличии, копия вступившего в законную силу решения </w:t>
      </w:r>
      <w:r w:rsidR="009A07B4" w:rsidRPr="009E734B">
        <w:rPr>
          <w:bCs/>
          <w:color w:val="000000"/>
          <w:sz w:val="26"/>
          <w:szCs w:val="26"/>
        </w:rPr>
        <w:lastRenderedPageBreak/>
        <w:t>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 xml:space="preserve"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</w:t>
      </w:r>
      <w:r w:rsidRPr="009E734B">
        <w:rPr>
          <w:color w:val="000000"/>
          <w:sz w:val="26"/>
          <w:szCs w:val="26"/>
        </w:rPr>
        <w:lastRenderedPageBreak/>
        <w:t>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 w:rsidRPr="009E734B">
        <w:rPr>
          <w:rFonts w:eastAsia="Calibri"/>
          <w:sz w:val="26"/>
          <w:szCs w:val="26"/>
          <w:lang w:bidi="ru-RU"/>
        </w:rPr>
        <w:lastRenderedPageBreak/>
        <w:t>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</w:r>
      <w:r w:rsidRPr="009E734B">
        <w:rPr>
          <w:rFonts w:eastAsia="Calibri"/>
          <w:sz w:val="26"/>
          <w:szCs w:val="26"/>
          <w:lang w:bidi="ru-RU"/>
        </w:rPr>
        <w:lastRenderedPageBreak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2.21.1. Своевременность предоставления муниципальной услуги в соответствии со </w:t>
      </w:r>
      <w:r w:rsidRPr="009E734B">
        <w:rPr>
          <w:rFonts w:eastAsia="Calibri"/>
          <w:sz w:val="26"/>
          <w:szCs w:val="26"/>
          <w:lang w:bidi="ru-RU"/>
        </w:rPr>
        <w:lastRenderedPageBreak/>
        <w:t>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</w:t>
      </w:r>
      <w:proofErr w:type="gramStart"/>
      <w:r w:rsidR="009A07B4" w:rsidRPr="009E734B">
        <w:rPr>
          <w:color w:val="000000"/>
          <w:sz w:val="26"/>
          <w:szCs w:val="26"/>
        </w:rPr>
        <w:t>предоставляющего  муниципальную</w:t>
      </w:r>
      <w:proofErr w:type="gramEnd"/>
      <w:r w:rsidR="009A07B4" w:rsidRPr="009E734B">
        <w:rPr>
          <w:color w:val="000000"/>
          <w:sz w:val="26"/>
          <w:szCs w:val="26"/>
        </w:rPr>
        <w:t xml:space="preserve">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</w:t>
      </w:r>
      <w:r w:rsidR="009A07B4" w:rsidRPr="009E734B">
        <w:rPr>
          <w:color w:val="000000"/>
          <w:sz w:val="26"/>
          <w:szCs w:val="26"/>
        </w:rPr>
        <w:lastRenderedPageBreak/>
        <w:t>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главой Администрации </w:t>
      </w:r>
      <w:r w:rsidR="00423529">
        <w:rPr>
          <w:rFonts w:eastAsia="Calibri"/>
          <w:sz w:val="26"/>
          <w:szCs w:val="26"/>
          <w:lang w:bidi="ru-RU"/>
        </w:rPr>
        <w:t>Покровского</w:t>
      </w:r>
      <w:r w:rsidRPr="009E734B">
        <w:rPr>
          <w:rFonts w:eastAsia="Calibri"/>
          <w:sz w:val="26"/>
          <w:szCs w:val="26"/>
          <w:lang w:bidi="ru-RU"/>
        </w:rPr>
        <w:t xml:space="preserve"> сельсовета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Топчихинского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</w:t>
      </w:r>
      <w:r w:rsidRPr="009E734B">
        <w:rPr>
          <w:rFonts w:eastAsia="Calibri"/>
          <w:sz w:val="26"/>
          <w:szCs w:val="26"/>
          <w:lang w:bidi="ru-RU"/>
        </w:rPr>
        <w:lastRenderedPageBreak/>
        <w:t>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proofErr w:type="gramStart"/>
      <w:r>
        <w:rPr>
          <w:rFonts w:eastAsia="Calibri"/>
          <w:bCs/>
          <w:color w:val="000000"/>
        </w:rPr>
        <w:t xml:space="preserve">   (</w:t>
      </w:r>
      <w:proofErr w:type="gramEnd"/>
      <w:r>
        <w:rPr>
          <w:rFonts w:eastAsia="Calibri"/>
          <w:bCs/>
          <w:color w:val="000000"/>
        </w:rPr>
        <w:t xml:space="preserve">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</w:t>
      </w:r>
      <w:proofErr w:type="gramStart"/>
      <w:r>
        <w:rPr>
          <w:rFonts w:eastAsia="Calibri"/>
          <w:bCs/>
          <w:color w:val="000000"/>
        </w:rPr>
        <w:t>_»  _</w:t>
      </w:r>
      <w:proofErr w:type="gramEnd"/>
      <w:r>
        <w:rPr>
          <w:rFonts w:eastAsia="Calibri"/>
          <w:bCs/>
          <w:color w:val="000000"/>
        </w:rPr>
        <w:t>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4046"/>
        <w:gridCol w:w="3528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(должность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3991"/>
        <w:gridCol w:w="3751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(должность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 xml:space="preserve">к Административному </w:t>
      </w:r>
      <w:r w:rsidRPr="00F40EF5">
        <w:rPr>
          <w:color w:val="000000"/>
          <w:sz w:val="26"/>
          <w:szCs w:val="26"/>
        </w:rPr>
        <w:lastRenderedPageBreak/>
        <w:t>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F542BA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 xml:space="preserve">Представитель </w:t>
      </w:r>
      <w:proofErr w:type="gramStart"/>
      <w:r w:rsidRPr="005B7BB6">
        <w:rPr>
          <w:color w:val="000000"/>
        </w:rPr>
        <w:t xml:space="preserve">заявителя:   </w:t>
      </w:r>
      <w:proofErr w:type="gramEnd"/>
      <w:r w:rsidRPr="005B7BB6">
        <w:rPr>
          <w:color w:val="000000"/>
        </w:rPr>
        <w:t xml:space="preserve">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proofErr w:type="gramStart"/>
      <w:r>
        <w:rPr>
          <w:color w:val="000000"/>
        </w:rPr>
        <w:t>Даю  свое</w:t>
      </w:r>
      <w:proofErr w:type="gramEnd"/>
      <w:r>
        <w:rPr>
          <w:color w:val="000000"/>
        </w:rPr>
        <w:t xml:space="preserve">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>(</w:t>
      </w:r>
      <w:proofErr w:type="gramStart"/>
      <w:r w:rsidRPr="005B7BB6">
        <w:rPr>
          <w:color w:val="000000"/>
          <w:sz w:val="20"/>
          <w:szCs w:val="20"/>
        </w:rPr>
        <w:t xml:space="preserve">подпись)   </w:t>
      </w:r>
      <w:proofErr w:type="gramEnd"/>
      <w:r w:rsidRPr="005B7BB6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lastRenderedPageBreak/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5794"/>
      </w:tblGrid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DA30F4">
        <w:tc>
          <w:tcPr>
            <w:tcW w:w="9628" w:type="dxa"/>
            <w:gridSpan w:val="3"/>
            <w:vAlign w:val="center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423529">
      <w:pgSz w:w="11906" w:h="16838"/>
      <w:pgMar w:top="1134" w:right="567" w:bottom="1134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 w15:restartNumberingAfterBreak="0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 w15:restartNumberingAfterBreak="0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 w15:restartNumberingAfterBreak="0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 w15:restartNumberingAfterBreak="0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2A"/>
    <w:rsid w:val="00020113"/>
    <w:rsid w:val="00073304"/>
    <w:rsid w:val="0036148C"/>
    <w:rsid w:val="00423529"/>
    <w:rsid w:val="004C5BB2"/>
    <w:rsid w:val="005B7BB6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C334E0"/>
    <w:rsid w:val="00CB31E9"/>
    <w:rsid w:val="00CF7001"/>
    <w:rsid w:val="00F03325"/>
    <w:rsid w:val="00F40EF5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9C88"/>
  <w15:docId w15:val="{F20AD18D-5A50-42ED-922B-45DAFB8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9617</Words>
  <Characters>54819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2023-03-22T07:36:00Z</dcterms:created>
  <dcterms:modified xsi:type="dcterms:W3CDTF">2023-03-22T07:37:00Z</dcterms:modified>
</cp:coreProperties>
</file>