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B3" w:rsidRDefault="009223B3" w:rsidP="00C964E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bookmarkStart w:id="0" w:name="_Toc420918343"/>
      <w:r>
        <w:rPr>
          <w:rFonts w:ascii="Times New Roman" w:hAnsi="Times New Roman"/>
          <w:szCs w:val="28"/>
        </w:rPr>
        <w:t>И</w:t>
      </w:r>
      <w:r w:rsidR="00C964E9" w:rsidRPr="00157175">
        <w:rPr>
          <w:rFonts w:ascii="Times New Roman" w:hAnsi="Times New Roman"/>
          <w:szCs w:val="28"/>
        </w:rPr>
        <w:t>нвестиционн</w:t>
      </w:r>
      <w:r>
        <w:rPr>
          <w:rFonts w:ascii="Times New Roman" w:hAnsi="Times New Roman"/>
          <w:szCs w:val="28"/>
        </w:rPr>
        <w:t>ая</w:t>
      </w:r>
      <w:r w:rsidR="00C964E9" w:rsidRPr="00157175">
        <w:rPr>
          <w:rFonts w:ascii="Times New Roman" w:hAnsi="Times New Roman"/>
          <w:szCs w:val="28"/>
        </w:rPr>
        <w:t xml:space="preserve"> активност</w:t>
      </w:r>
      <w:r>
        <w:rPr>
          <w:rFonts w:ascii="Times New Roman" w:hAnsi="Times New Roman"/>
          <w:szCs w:val="28"/>
        </w:rPr>
        <w:t xml:space="preserve">ь в Топчихинском районе </w:t>
      </w:r>
      <w:bookmarkEnd w:id="0"/>
    </w:p>
    <w:p w:rsidR="00C964E9" w:rsidRPr="00157175" w:rsidRDefault="009223B3" w:rsidP="00C964E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 </w:t>
      </w:r>
      <w:r w:rsidR="00032404">
        <w:rPr>
          <w:rFonts w:ascii="Times New Roman" w:hAnsi="Times New Roman"/>
          <w:szCs w:val="28"/>
        </w:rPr>
        <w:t>январь-</w:t>
      </w:r>
      <w:r w:rsidR="00155DB2">
        <w:rPr>
          <w:rFonts w:ascii="Times New Roman" w:hAnsi="Times New Roman"/>
          <w:szCs w:val="28"/>
        </w:rPr>
        <w:t>декабрь</w:t>
      </w:r>
      <w:r w:rsidR="0003240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20</w:t>
      </w:r>
      <w:r w:rsidR="00993FF6">
        <w:rPr>
          <w:rFonts w:ascii="Times New Roman" w:hAnsi="Times New Roman"/>
          <w:szCs w:val="28"/>
        </w:rPr>
        <w:t>21</w:t>
      </w:r>
      <w:r>
        <w:rPr>
          <w:rFonts w:ascii="Times New Roman" w:hAnsi="Times New Roman"/>
          <w:szCs w:val="28"/>
        </w:rPr>
        <w:t xml:space="preserve"> год</w:t>
      </w:r>
      <w:r w:rsidR="00032404">
        <w:rPr>
          <w:rFonts w:ascii="Times New Roman" w:hAnsi="Times New Roman"/>
          <w:szCs w:val="28"/>
        </w:rPr>
        <w:t>а</w:t>
      </w:r>
    </w:p>
    <w:p w:rsidR="00C964E9" w:rsidRPr="00157175" w:rsidRDefault="00C964E9" w:rsidP="00C964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83C" w:rsidRDefault="0086083C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бъем инвестиций в экономику района </w:t>
      </w:r>
      <w:r w:rsidR="00AD4B16">
        <w:rPr>
          <w:rFonts w:ascii="Times New Roman" w:hAnsi="Times New Roman" w:cs="Times New Roman"/>
          <w:sz w:val="28"/>
          <w:szCs w:val="28"/>
        </w:rPr>
        <w:t>за январь-</w:t>
      </w:r>
      <w:r w:rsidR="00155DB2">
        <w:rPr>
          <w:rFonts w:ascii="Times New Roman" w:hAnsi="Times New Roman" w:cs="Times New Roman"/>
          <w:sz w:val="28"/>
          <w:szCs w:val="28"/>
        </w:rPr>
        <w:t>декабрь</w:t>
      </w:r>
      <w:r w:rsidR="002676A6">
        <w:rPr>
          <w:rFonts w:ascii="Times New Roman" w:hAnsi="Times New Roman" w:cs="Times New Roman"/>
          <w:sz w:val="28"/>
          <w:szCs w:val="28"/>
        </w:rPr>
        <w:t xml:space="preserve"> 20</w:t>
      </w:r>
      <w:r w:rsidR="00993FF6">
        <w:rPr>
          <w:rFonts w:ascii="Times New Roman" w:hAnsi="Times New Roman" w:cs="Times New Roman"/>
          <w:sz w:val="28"/>
          <w:szCs w:val="28"/>
        </w:rPr>
        <w:t>21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07D65">
        <w:rPr>
          <w:rFonts w:ascii="Times New Roman" w:hAnsi="Times New Roman" w:cs="Times New Roman"/>
          <w:sz w:val="28"/>
          <w:szCs w:val="28"/>
        </w:rPr>
        <w:t>5</w:t>
      </w:r>
      <w:r w:rsidR="00993FF6">
        <w:rPr>
          <w:rFonts w:ascii="Times New Roman" w:hAnsi="Times New Roman" w:cs="Times New Roman"/>
          <w:sz w:val="28"/>
          <w:szCs w:val="28"/>
        </w:rPr>
        <w:t>34</w:t>
      </w:r>
      <w:r w:rsidR="00FA53CA">
        <w:rPr>
          <w:rFonts w:ascii="Times New Roman" w:hAnsi="Times New Roman" w:cs="Times New Roman"/>
          <w:sz w:val="28"/>
          <w:szCs w:val="28"/>
        </w:rPr>
        <w:t>,0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007D65">
        <w:rPr>
          <w:rFonts w:ascii="Times New Roman" w:hAnsi="Times New Roman" w:cs="Times New Roman"/>
          <w:sz w:val="28"/>
          <w:szCs w:val="28"/>
        </w:rPr>
        <w:t xml:space="preserve">, </w:t>
      </w:r>
      <w:r w:rsidR="00A3618D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993FF6">
        <w:rPr>
          <w:rFonts w:ascii="Times New Roman" w:hAnsi="Times New Roman" w:cs="Times New Roman"/>
          <w:sz w:val="28"/>
          <w:szCs w:val="28"/>
        </w:rPr>
        <w:t>4,5</w:t>
      </w:r>
      <w:r w:rsidR="00007D65">
        <w:rPr>
          <w:rFonts w:ascii="Times New Roman" w:hAnsi="Times New Roman" w:cs="Times New Roman"/>
          <w:sz w:val="28"/>
          <w:szCs w:val="28"/>
        </w:rPr>
        <w:t xml:space="preserve">% </w:t>
      </w:r>
      <w:r w:rsidR="00A3618D">
        <w:rPr>
          <w:rFonts w:ascii="Times New Roman" w:hAnsi="Times New Roman" w:cs="Times New Roman"/>
          <w:sz w:val="28"/>
          <w:szCs w:val="28"/>
        </w:rPr>
        <w:t xml:space="preserve">выше уровня </w:t>
      </w:r>
      <w:r w:rsidR="00007D65">
        <w:rPr>
          <w:rFonts w:ascii="Times New Roman" w:hAnsi="Times New Roman" w:cs="Times New Roman"/>
          <w:sz w:val="28"/>
          <w:szCs w:val="28"/>
        </w:rPr>
        <w:t>предыдуще</w:t>
      </w:r>
      <w:r w:rsidR="00A3618D">
        <w:rPr>
          <w:rFonts w:ascii="Times New Roman" w:hAnsi="Times New Roman" w:cs="Times New Roman"/>
          <w:sz w:val="28"/>
          <w:szCs w:val="28"/>
        </w:rPr>
        <w:t>го</w:t>
      </w:r>
      <w:r w:rsidR="00007D65">
        <w:rPr>
          <w:rFonts w:ascii="Times New Roman" w:hAnsi="Times New Roman" w:cs="Times New Roman"/>
          <w:sz w:val="28"/>
          <w:szCs w:val="28"/>
        </w:rPr>
        <w:t xml:space="preserve"> год</w:t>
      </w:r>
      <w:r w:rsidR="00A3618D">
        <w:rPr>
          <w:rFonts w:ascii="Times New Roman" w:hAnsi="Times New Roman" w:cs="Times New Roman"/>
          <w:sz w:val="28"/>
          <w:szCs w:val="28"/>
        </w:rPr>
        <w:t>а</w:t>
      </w:r>
      <w:r w:rsidR="00007D65">
        <w:rPr>
          <w:rFonts w:ascii="Times New Roman" w:hAnsi="Times New Roman" w:cs="Times New Roman"/>
          <w:sz w:val="28"/>
          <w:szCs w:val="28"/>
        </w:rPr>
        <w:t xml:space="preserve"> (в сопоставимых ценах -</w:t>
      </w:r>
      <w:r w:rsidR="00A3618D">
        <w:rPr>
          <w:rFonts w:ascii="Times New Roman" w:hAnsi="Times New Roman" w:cs="Times New Roman"/>
          <w:sz w:val="28"/>
          <w:szCs w:val="28"/>
        </w:rPr>
        <w:t>96,8</w:t>
      </w:r>
      <w:r w:rsidR="00007D6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из них по крупным и средним предприятиям</w:t>
      </w:r>
      <w:r w:rsidR="00A70D3F">
        <w:rPr>
          <w:rFonts w:ascii="Times New Roman" w:hAnsi="Times New Roman" w:cs="Times New Roman"/>
          <w:sz w:val="28"/>
          <w:szCs w:val="28"/>
        </w:rPr>
        <w:t xml:space="preserve"> </w:t>
      </w:r>
      <w:r w:rsidR="00FA53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FF6">
        <w:rPr>
          <w:rFonts w:ascii="Times New Roman" w:hAnsi="Times New Roman" w:cs="Times New Roman"/>
          <w:sz w:val="28"/>
          <w:szCs w:val="28"/>
        </w:rPr>
        <w:t>366,4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511305">
        <w:rPr>
          <w:rFonts w:ascii="Times New Roman" w:hAnsi="Times New Roman" w:cs="Times New Roman"/>
          <w:sz w:val="28"/>
          <w:szCs w:val="28"/>
        </w:rPr>
        <w:t xml:space="preserve">, </w:t>
      </w:r>
      <w:r w:rsidR="00511305" w:rsidRPr="00741576">
        <w:rPr>
          <w:rFonts w:ascii="Times New Roman" w:hAnsi="Times New Roman" w:cs="Times New Roman"/>
          <w:sz w:val="28"/>
          <w:szCs w:val="28"/>
        </w:rPr>
        <w:t xml:space="preserve">что </w:t>
      </w:r>
      <w:r w:rsidR="00250CDF" w:rsidRPr="00741576">
        <w:rPr>
          <w:rFonts w:ascii="Times New Roman" w:hAnsi="Times New Roman" w:cs="Times New Roman"/>
          <w:sz w:val="28"/>
          <w:szCs w:val="28"/>
        </w:rPr>
        <w:t xml:space="preserve">на </w:t>
      </w:r>
      <w:r w:rsidR="00A3618D">
        <w:rPr>
          <w:rFonts w:ascii="Times New Roman" w:hAnsi="Times New Roman" w:cs="Times New Roman"/>
          <w:sz w:val="28"/>
          <w:szCs w:val="28"/>
        </w:rPr>
        <w:t>2,7</w:t>
      </w:r>
      <w:r w:rsidR="00250CDF" w:rsidRPr="00741576">
        <w:rPr>
          <w:rFonts w:ascii="Times New Roman" w:hAnsi="Times New Roman" w:cs="Times New Roman"/>
          <w:sz w:val="28"/>
          <w:szCs w:val="28"/>
        </w:rPr>
        <w:t xml:space="preserve"> % </w:t>
      </w:r>
      <w:r w:rsidR="00741576" w:rsidRPr="00741576">
        <w:rPr>
          <w:rFonts w:ascii="Times New Roman" w:hAnsi="Times New Roman" w:cs="Times New Roman"/>
          <w:sz w:val="28"/>
          <w:szCs w:val="28"/>
        </w:rPr>
        <w:t>ниже уровня 2020</w:t>
      </w:r>
      <w:r w:rsidR="00F25E46" w:rsidRPr="00741576">
        <w:rPr>
          <w:rFonts w:ascii="Times New Roman" w:hAnsi="Times New Roman" w:cs="Times New Roman"/>
          <w:sz w:val="28"/>
          <w:szCs w:val="28"/>
        </w:rPr>
        <w:t xml:space="preserve"> </w:t>
      </w:r>
      <w:r w:rsidR="00F25E46">
        <w:rPr>
          <w:rFonts w:ascii="Times New Roman" w:hAnsi="Times New Roman" w:cs="Times New Roman"/>
          <w:sz w:val="28"/>
          <w:szCs w:val="28"/>
        </w:rPr>
        <w:t>года</w:t>
      </w:r>
      <w:r w:rsidR="00007D65">
        <w:rPr>
          <w:rFonts w:ascii="Times New Roman" w:hAnsi="Times New Roman" w:cs="Times New Roman"/>
          <w:sz w:val="28"/>
          <w:szCs w:val="28"/>
        </w:rPr>
        <w:t xml:space="preserve"> (в сопоставимых ценах </w:t>
      </w:r>
      <w:r w:rsidR="00FA53CA">
        <w:rPr>
          <w:rFonts w:ascii="Times New Roman" w:hAnsi="Times New Roman" w:cs="Times New Roman"/>
          <w:sz w:val="28"/>
          <w:szCs w:val="28"/>
        </w:rPr>
        <w:t>–</w:t>
      </w:r>
      <w:r w:rsidR="00007D65">
        <w:rPr>
          <w:rFonts w:ascii="Times New Roman" w:hAnsi="Times New Roman" w:cs="Times New Roman"/>
          <w:sz w:val="28"/>
          <w:szCs w:val="28"/>
        </w:rPr>
        <w:t xml:space="preserve"> </w:t>
      </w:r>
      <w:r w:rsidR="00993FF6">
        <w:rPr>
          <w:rFonts w:ascii="Times New Roman" w:hAnsi="Times New Roman" w:cs="Times New Roman"/>
          <w:sz w:val="28"/>
          <w:szCs w:val="28"/>
        </w:rPr>
        <w:t>9</w:t>
      </w:r>
      <w:r w:rsidR="00A3618D">
        <w:rPr>
          <w:rFonts w:ascii="Times New Roman" w:hAnsi="Times New Roman" w:cs="Times New Roman"/>
          <w:sz w:val="28"/>
          <w:szCs w:val="28"/>
        </w:rPr>
        <w:t>0,1</w:t>
      </w:r>
      <w:r w:rsidR="00007D65">
        <w:rPr>
          <w:rFonts w:ascii="Times New Roman" w:hAnsi="Times New Roman" w:cs="Times New Roman"/>
          <w:sz w:val="28"/>
          <w:szCs w:val="28"/>
        </w:rPr>
        <w:t>%)</w:t>
      </w:r>
      <w:r w:rsidR="00F25E46">
        <w:rPr>
          <w:rFonts w:ascii="Times New Roman" w:hAnsi="Times New Roman" w:cs="Times New Roman"/>
          <w:sz w:val="28"/>
          <w:szCs w:val="28"/>
        </w:rPr>
        <w:t>.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536" w:rsidRDefault="00720A5F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инвестиций по источникам </w:t>
      </w:r>
      <w:r w:rsidR="00F25E46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(по кругу крупных и средних предприятий) преобладают собственные средства</w:t>
      </w:r>
      <w:r w:rsidR="00F25E46">
        <w:rPr>
          <w:rFonts w:ascii="Times New Roman" w:hAnsi="Times New Roman" w:cs="Times New Roman"/>
          <w:sz w:val="28"/>
          <w:szCs w:val="28"/>
        </w:rPr>
        <w:t xml:space="preserve"> </w:t>
      </w:r>
      <w:r w:rsidR="00007D65">
        <w:rPr>
          <w:rFonts w:ascii="Times New Roman" w:hAnsi="Times New Roman" w:cs="Times New Roman"/>
          <w:sz w:val="28"/>
          <w:szCs w:val="28"/>
        </w:rPr>
        <w:t>–</w:t>
      </w:r>
      <w:r w:rsidR="00F25E46">
        <w:rPr>
          <w:rFonts w:ascii="Times New Roman" w:hAnsi="Times New Roman" w:cs="Times New Roman"/>
          <w:sz w:val="28"/>
          <w:szCs w:val="28"/>
        </w:rPr>
        <w:t xml:space="preserve"> </w:t>
      </w:r>
      <w:r w:rsidR="006072E0">
        <w:rPr>
          <w:rFonts w:ascii="Times New Roman" w:hAnsi="Times New Roman" w:cs="Times New Roman"/>
          <w:sz w:val="28"/>
          <w:szCs w:val="28"/>
        </w:rPr>
        <w:t>49,7</w:t>
      </w:r>
      <w:r w:rsidR="00F25E46">
        <w:rPr>
          <w:rFonts w:ascii="Times New Roman" w:hAnsi="Times New Roman" w:cs="Times New Roman"/>
          <w:sz w:val="28"/>
          <w:szCs w:val="28"/>
        </w:rPr>
        <w:t xml:space="preserve"> % или </w:t>
      </w:r>
      <w:r w:rsidR="006072E0">
        <w:rPr>
          <w:rFonts w:ascii="Times New Roman" w:hAnsi="Times New Roman" w:cs="Times New Roman"/>
          <w:sz w:val="28"/>
          <w:szCs w:val="28"/>
        </w:rPr>
        <w:t>181,93</w:t>
      </w:r>
      <w:r w:rsidR="00F25E4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9F3027">
        <w:rPr>
          <w:rFonts w:ascii="Times New Roman" w:hAnsi="Times New Roman" w:cs="Times New Roman"/>
          <w:sz w:val="28"/>
          <w:szCs w:val="28"/>
        </w:rPr>
        <w:t xml:space="preserve">. </w:t>
      </w:r>
      <w:r w:rsidR="00F25E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7A0" w:rsidRPr="005F56EB" w:rsidRDefault="003947A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47A0" w:rsidRPr="00F01D6C" w:rsidRDefault="003947A0" w:rsidP="003947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1D6C">
        <w:rPr>
          <w:rFonts w:ascii="Times New Roman" w:hAnsi="Times New Roman" w:cs="Times New Roman"/>
          <w:b/>
          <w:i/>
          <w:sz w:val="28"/>
          <w:szCs w:val="28"/>
        </w:rPr>
        <w:t>Структура источников финансирования инвестиций</w:t>
      </w:r>
    </w:p>
    <w:p w:rsidR="003947A0" w:rsidRPr="00F01D6C" w:rsidRDefault="003947A0" w:rsidP="003947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1D6C">
        <w:rPr>
          <w:rFonts w:ascii="Times New Roman" w:hAnsi="Times New Roman" w:cs="Times New Roman"/>
          <w:b/>
          <w:i/>
          <w:sz w:val="28"/>
          <w:szCs w:val="28"/>
        </w:rPr>
        <w:t xml:space="preserve"> крупных и средних предприятий</w:t>
      </w:r>
      <w:r w:rsidR="00C15B4B" w:rsidRPr="00F01D6C">
        <w:rPr>
          <w:rFonts w:ascii="Times New Roman" w:hAnsi="Times New Roman" w:cs="Times New Roman"/>
          <w:b/>
          <w:i/>
          <w:sz w:val="28"/>
          <w:szCs w:val="28"/>
        </w:rPr>
        <w:t>, млн. руб.</w:t>
      </w:r>
    </w:p>
    <w:p w:rsidR="003947A0" w:rsidRDefault="003947A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A5F" w:rsidRDefault="00ED0536" w:rsidP="00ED0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505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720A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D3F" w:rsidRPr="005F56EB" w:rsidRDefault="00A70D3F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6C0F" w:rsidRDefault="004A724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334">
        <w:rPr>
          <w:rFonts w:ascii="Times New Roman" w:hAnsi="Times New Roman" w:cs="Times New Roman"/>
          <w:sz w:val="28"/>
          <w:szCs w:val="28"/>
        </w:rPr>
        <w:t xml:space="preserve"> объеме инвестиций за счет привлеченных средств </w:t>
      </w:r>
      <w:r w:rsidR="007552F3">
        <w:rPr>
          <w:rFonts w:ascii="Times New Roman" w:hAnsi="Times New Roman" w:cs="Times New Roman"/>
          <w:sz w:val="28"/>
          <w:szCs w:val="28"/>
        </w:rPr>
        <w:t xml:space="preserve">по крупным и средним предприятиям основную долю составляют инвестиции </w:t>
      </w:r>
      <w:r w:rsidR="00ED310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FA53CA">
        <w:rPr>
          <w:rFonts w:ascii="Times New Roman" w:hAnsi="Times New Roman" w:cs="Times New Roman"/>
          <w:sz w:val="28"/>
          <w:szCs w:val="28"/>
        </w:rPr>
        <w:t xml:space="preserve">средств бюджетов всех уровней </w:t>
      </w:r>
      <w:r w:rsidR="0096779F" w:rsidRPr="0096779F">
        <w:rPr>
          <w:rFonts w:ascii="Times New Roman" w:hAnsi="Times New Roman" w:cs="Times New Roman"/>
          <w:sz w:val="28"/>
          <w:szCs w:val="28"/>
        </w:rPr>
        <w:t>67,</w:t>
      </w:r>
      <w:r w:rsidR="00A3618D">
        <w:rPr>
          <w:rFonts w:ascii="Times New Roman" w:hAnsi="Times New Roman" w:cs="Times New Roman"/>
          <w:sz w:val="28"/>
          <w:szCs w:val="28"/>
        </w:rPr>
        <w:t>7</w:t>
      </w:r>
      <w:r w:rsidR="00FA53CA">
        <w:rPr>
          <w:rFonts w:ascii="Times New Roman" w:hAnsi="Times New Roman" w:cs="Times New Roman"/>
          <w:sz w:val="28"/>
          <w:szCs w:val="28"/>
        </w:rPr>
        <w:t>% (</w:t>
      </w:r>
      <w:r w:rsidR="000877B4">
        <w:rPr>
          <w:rFonts w:ascii="Times New Roman" w:hAnsi="Times New Roman" w:cs="Times New Roman"/>
          <w:sz w:val="28"/>
          <w:szCs w:val="28"/>
        </w:rPr>
        <w:t>124,85</w:t>
      </w:r>
      <w:r w:rsidR="00FA53CA">
        <w:rPr>
          <w:rFonts w:ascii="Times New Roman" w:hAnsi="Times New Roman" w:cs="Times New Roman"/>
          <w:sz w:val="28"/>
          <w:szCs w:val="28"/>
        </w:rPr>
        <w:t xml:space="preserve"> млн. руб.), </w:t>
      </w:r>
      <w:r w:rsidR="00957A33">
        <w:rPr>
          <w:rFonts w:ascii="Times New Roman" w:hAnsi="Times New Roman" w:cs="Times New Roman"/>
          <w:sz w:val="28"/>
          <w:szCs w:val="28"/>
        </w:rPr>
        <w:t>кредитов банков</w:t>
      </w:r>
      <w:r w:rsidR="002750D9">
        <w:rPr>
          <w:rFonts w:ascii="Times New Roman" w:hAnsi="Times New Roman" w:cs="Times New Roman"/>
          <w:sz w:val="28"/>
          <w:szCs w:val="28"/>
        </w:rPr>
        <w:t xml:space="preserve"> </w:t>
      </w:r>
      <w:r w:rsidR="00FA53CA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B5171F" w:rsidRPr="00B5171F">
        <w:rPr>
          <w:rFonts w:ascii="Times New Roman" w:hAnsi="Times New Roman" w:cs="Times New Roman"/>
          <w:sz w:val="28"/>
          <w:szCs w:val="28"/>
        </w:rPr>
        <w:t>32,3</w:t>
      </w:r>
      <w:r w:rsidR="002C166C">
        <w:rPr>
          <w:rFonts w:ascii="Times New Roman" w:hAnsi="Times New Roman" w:cs="Times New Roman"/>
          <w:sz w:val="28"/>
          <w:szCs w:val="28"/>
        </w:rPr>
        <w:t>%</w:t>
      </w:r>
      <w:r w:rsidR="002750D9">
        <w:rPr>
          <w:rFonts w:ascii="Times New Roman" w:hAnsi="Times New Roman" w:cs="Times New Roman"/>
          <w:sz w:val="28"/>
          <w:szCs w:val="28"/>
        </w:rPr>
        <w:t xml:space="preserve"> (</w:t>
      </w:r>
      <w:r w:rsidR="000877B4">
        <w:rPr>
          <w:rFonts w:ascii="Times New Roman" w:hAnsi="Times New Roman" w:cs="Times New Roman"/>
          <w:sz w:val="28"/>
          <w:szCs w:val="28"/>
        </w:rPr>
        <w:t xml:space="preserve">59,65 </w:t>
      </w:r>
      <w:r w:rsidR="00007D65">
        <w:rPr>
          <w:rFonts w:ascii="Times New Roman" w:hAnsi="Times New Roman" w:cs="Times New Roman"/>
          <w:sz w:val="28"/>
          <w:szCs w:val="28"/>
        </w:rPr>
        <w:t>млн. руб.</w:t>
      </w:r>
      <w:r w:rsidR="006727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53CA">
        <w:rPr>
          <w:rFonts w:ascii="Times New Roman" w:hAnsi="Times New Roman" w:cs="Times New Roman"/>
          <w:sz w:val="28"/>
          <w:szCs w:val="28"/>
        </w:rPr>
        <w:t xml:space="preserve">В </w:t>
      </w:r>
      <w:r w:rsidR="009132B6">
        <w:rPr>
          <w:rFonts w:ascii="Times New Roman" w:hAnsi="Times New Roman" w:cs="Times New Roman"/>
          <w:sz w:val="28"/>
          <w:szCs w:val="28"/>
        </w:rPr>
        <w:t>январе-</w:t>
      </w:r>
      <w:r w:rsidR="00957A33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9132B6">
        <w:rPr>
          <w:rFonts w:ascii="Times New Roman" w:hAnsi="Times New Roman" w:cs="Times New Roman"/>
          <w:sz w:val="28"/>
          <w:szCs w:val="28"/>
        </w:rPr>
        <w:t>20</w:t>
      </w:r>
      <w:r w:rsidR="000877B4">
        <w:rPr>
          <w:rFonts w:ascii="Times New Roman" w:hAnsi="Times New Roman" w:cs="Times New Roman"/>
          <w:sz w:val="28"/>
          <w:szCs w:val="28"/>
        </w:rPr>
        <w:t>21</w:t>
      </w:r>
      <w:r w:rsidR="009132B6">
        <w:rPr>
          <w:rFonts w:ascii="Times New Roman" w:hAnsi="Times New Roman" w:cs="Times New Roman"/>
          <w:sz w:val="28"/>
          <w:szCs w:val="28"/>
        </w:rPr>
        <w:t xml:space="preserve"> года по отно</w:t>
      </w:r>
      <w:r w:rsidR="000877B4">
        <w:rPr>
          <w:rFonts w:ascii="Times New Roman" w:hAnsi="Times New Roman" w:cs="Times New Roman"/>
          <w:sz w:val="28"/>
          <w:szCs w:val="28"/>
        </w:rPr>
        <w:t>шению к аналогичному периоду 2020</w:t>
      </w:r>
      <w:r w:rsidR="009132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2475">
        <w:rPr>
          <w:rFonts w:ascii="Times New Roman" w:hAnsi="Times New Roman" w:cs="Times New Roman"/>
          <w:sz w:val="28"/>
          <w:szCs w:val="28"/>
        </w:rPr>
        <w:t>в общем объеме инвестиций по крупным и средним предприятиям</w:t>
      </w:r>
      <w:r w:rsidR="00596EC5" w:rsidRPr="00596EC5">
        <w:rPr>
          <w:rFonts w:ascii="Times New Roman" w:hAnsi="Times New Roman" w:cs="Times New Roman"/>
          <w:sz w:val="28"/>
          <w:szCs w:val="28"/>
        </w:rPr>
        <w:t xml:space="preserve"> </w:t>
      </w:r>
      <w:r w:rsidR="00596EC5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007D65">
        <w:rPr>
          <w:rFonts w:ascii="Times New Roman" w:hAnsi="Times New Roman" w:cs="Times New Roman"/>
          <w:sz w:val="28"/>
          <w:szCs w:val="28"/>
        </w:rPr>
        <w:t>увеличение</w:t>
      </w:r>
      <w:r w:rsidR="001C2475">
        <w:rPr>
          <w:rFonts w:ascii="Times New Roman" w:hAnsi="Times New Roman" w:cs="Times New Roman"/>
          <w:sz w:val="28"/>
          <w:szCs w:val="28"/>
        </w:rPr>
        <w:t xml:space="preserve"> </w:t>
      </w:r>
      <w:r w:rsidR="007552F3">
        <w:rPr>
          <w:rFonts w:ascii="Times New Roman" w:hAnsi="Times New Roman" w:cs="Times New Roman"/>
          <w:sz w:val="28"/>
          <w:szCs w:val="28"/>
        </w:rPr>
        <w:t>удельн</w:t>
      </w:r>
      <w:r w:rsidR="00D379EB">
        <w:rPr>
          <w:rFonts w:ascii="Times New Roman" w:hAnsi="Times New Roman" w:cs="Times New Roman"/>
          <w:sz w:val="28"/>
          <w:szCs w:val="28"/>
        </w:rPr>
        <w:t xml:space="preserve">ого </w:t>
      </w:r>
      <w:r w:rsidR="007552F3">
        <w:rPr>
          <w:rFonts w:ascii="Times New Roman" w:hAnsi="Times New Roman" w:cs="Times New Roman"/>
          <w:sz w:val="28"/>
          <w:szCs w:val="28"/>
        </w:rPr>
        <w:t>вес</w:t>
      </w:r>
      <w:r w:rsidR="00D379EB">
        <w:rPr>
          <w:rFonts w:ascii="Times New Roman" w:hAnsi="Times New Roman" w:cs="Times New Roman"/>
          <w:sz w:val="28"/>
          <w:szCs w:val="28"/>
        </w:rPr>
        <w:t>а</w:t>
      </w:r>
      <w:r w:rsidR="007552F3">
        <w:rPr>
          <w:rFonts w:ascii="Times New Roman" w:hAnsi="Times New Roman" w:cs="Times New Roman"/>
          <w:sz w:val="28"/>
          <w:szCs w:val="28"/>
        </w:rPr>
        <w:t xml:space="preserve"> </w:t>
      </w:r>
      <w:r w:rsidR="00ED310F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7552F3">
        <w:rPr>
          <w:rFonts w:ascii="Times New Roman" w:hAnsi="Times New Roman" w:cs="Times New Roman"/>
          <w:sz w:val="28"/>
          <w:szCs w:val="28"/>
        </w:rPr>
        <w:t xml:space="preserve">инвестиций с </w:t>
      </w:r>
      <w:r w:rsidR="000877B4">
        <w:rPr>
          <w:rFonts w:ascii="Times New Roman" w:hAnsi="Times New Roman" w:cs="Times New Roman"/>
          <w:sz w:val="28"/>
          <w:szCs w:val="28"/>
        </w:rPr>
        <w:t>33,7</w:t>
      </w:r>
      <w:r w:rsidR="008E1BD4">
        <w:rPr>
          <w:rFonts w:ascii="Times New Roman" w:hAnsi="Times New Roman" w:cs="Times New Roman"/>
          <w:sz w:val="28"/>
          <w:szCs w:val="28"/>
        </w:rPr>
        <w:t xml:space="preserve"> </w:t>
      </w:r>
      <w:r w:rsidR="001C2475">
        <w:rPr>
          <w:rFonts w:ascii="Times New Roman" w:hAnsi="Times New Roman" w:cs="Times New Roman"/>
          <w:sz w:val="28"/>
          <w:szCs w:val="28"/>
        </w:rPr>
        <w:t xml:space="preserve">% до </w:t>
      </w:r>
      <w:r w:rsidR="000877B4">
        <w:rPr>
          <w:rFonts w:ascii="Times New Roman" w:hAnsi="Times New Roman" w:cs="Times New Roman"/>
          <w:sz w:val="28"/>
          <w:szCs w:val="28"/>
        </w:rPr>
        <w:t>34,1</w:t>
      </w:r>
      <w:r w:rsidR="00250CDF">
        <w:rPr>
          <w:rFonts w:ascii="Times New Roman" w:hAnsi="Times New Roman" w:cs="Times New Roman"/>
          <w:sz w:val="28"/>
          <w:szCs w:val="28"/>
        </w:rPr>
        <w:t xml:space="preserve"> </w:t>
      </w:r>
      <w:r w:rsidR="001C2475">
        <w:rPr>
          <w:rFonts w:ascii="Times New Roman" w:hAnsi="Times New Roman" w:cs="Times New Roman"/>
          <w:sz w:val="28"/>
          <w:szCs w:val="28"/>
        </w:rPr>
        <w:t>%</w:t>
      </w:r>
      <w:r w:rsidR="00596EC5">
        <w:rPr>
          <w:rFonts w:ascii="Times New Roman" w:hAnsi="Times New Roman" w:cs="Times New Roman"/>
          <w:sz w:val="28"/>
          <w:szCs w:val="28"/>
        </w:rPr>
        <w:t xml:space="preserve"> и</w:t>
      </w:r>
      <w:r w:rsidR="001C2475">
        <w:rPr>
          <w:rFonts w:ascii="Times New Roman" w:hAnsi="Times New Roman" w:cs="Times New Roman"/>
          <w:sz w:val="28"/>
          <w:szCs w:val="28"/>
        </w:rPr>
        <w:t xml:space="preserve"> </w:t>
      </w:r>
      <w:r w:rsidR="0096779F">
        <w:rPr>
          <w:rFonts w:ascii="Times New Roman" w:hAnsi="Times New Roman" w:cs="Times New Roman"/>
          <w:sz w:val="28"/>
          <w:szCs w:val="28"/>
        </w:rPr>
        <w:t>у</w:t>
      </w:r>
      <w:r w:rsidR="000877B4">
        <w:rPr>
          <w:rFonts w:ascii="Times New Roman" w:hAnsi="Times New Roman" w:cs="Times New Roman"/>
          <w:sz w:val="28"/>
          <w:szCs w:val="28"/>
        </w:rPr>
        <w:t>величение</w:t>
      </w:r>
      <w:r w:rsidR="000005D1">
        <w:rPr>
          <w:rFonts w:ascii="Times New Roman" w:hAnsi="Times New Roman" w:cs="Times New Roman"/>
          <w:sz w:val="28"/>
          <w:szCs w:val="28"/>
        </w:rPr>
        <w:t xml:space="preserve"> </w:t>
      </w:r>
      <w:r w:rsidR="001C2475">
        <w:rPr>
          <w:rFonts w:ascii="Times New Roman" w:hAnsi="Times New Roman" w:cs="Times New Roman"/>
          <w:sz w:val="28"/>
          <w:szCs w:val="28"/>
        </w:rPr>
        <w:t xml:space="preserve">инвестиций за счет кредитов банков с </w:t>
      </w:r>
      <w:r w:rsidR="000877B4">
        <w:rPr>
          <w:rFonts w:ascii="Times New Roman" w:hAnsi="Times New Roman" w:cs="Times New Roman"/>
          <w:sz w:val="28"/>
          <w:szCs w:val="28"/>
        </w:rPr>
        <w:t>11,8</w:t>
      </w:r>
      <w:r w:rsidR="001C2475">
        <w:rPr>
          <w:rFonts w:ascii="Times New Roman" w:hAnsi="Times New Roman" w:cs="Times New Roman"/>
          <w:sz w:val="28"/>
          <w:szCs w:val="28"/>
        </w:rPr>
        <w:t xml:space="preserve"> % до </w:t>
      </w:r>
      <w:r w:rsidR="000877B4">
        <w:rPr>
          <w:rFonts w:ascii="Times New Roman" w:hAnsi="Times New Roman" w:cs="Times New Roman"/>
          <w:sz w:val="28"/>
          <w:szCs w:val="28"/>
        </w:rPr>
        <w:t>16,3</w:t>
      </w:r>
      <w:r w:rsidR="001C2475">
        <w:rPr>
          <w:rFonts w:ascii="Times New Roman" w:hAnsi="Times New Roman" w:cs="Times New Roman"/>
          <w:sz w:val="28"/>
          <w:szCs w:val="28"/>
        </w:rPr>
        <w:t xml:space="preserve"> %</w:t>
      </w:r>
      <w:r w:rsidR="00755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A32" w:rsidRDefault="00356788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75">
        <w:rPr>
          <w:rFonts w:ascii="Times New Roman" w:hAnsi="Times New Roman" w:cs="Times New Roman"/>
          <w:sz w:val="28"/>
          <w:szCs w:val="28"/>
        </w:rPr>
        <w:t>В видовой структу</w:t>
      </w:r>
      <w:r>
        <w:rPr>
          <w:rFonts w:ascii="Times New Roman" w:hAnsi="Times New Roman" w:cs="Times New Roman"/>
          <w:sz w:val="28"/>
          <w:szCs w:val="28"/>
        </w:rPr>
        <w:t xml:space="preserve">ре </w:t>
      </w:r>
      <w:r w:rsidR="009B6C0F">
        <w:rPr>
          <w:rFonts w:ascii="Times New Roman" w:hAnsi="Times New Roman" w:cs="Times New Roman"/>
          <w:sz w:val="28"/>
          <w:szCs w:val="28"/>
        </w:rPr>
        <w:t xml:space="preserve">инвестиций </w:t>
      </w:r>
      <w:r>
        <w:rPr>
          <w:rFonts w:ascii="Times New Roman" w:hAnsi="Times New Roman" w:cs="Times New Roman"/>
          <w:sz w:val="28"/>
          <w:szCs w:val="28"/>
        </w:rPr>
        <w:t xml:space="preserve">наибольшую долю </w:t>
      </w:r>
      <w:r w:rsidR="009B6C0F">
        <w:rPr>
          <w:rFonts w:ascii="Times New Roman" w:hAnsi="Times New Roman" w:cs="Times New Roman"/>
          <w:sz w:val="28"/>
          <w:szCs w:val="28"/>
        </w:rPr>
        <w:t xml:space="preserve">составляют вложения в </w:t>
      </w:r>
      <w:r w:rsidRPr="00157175">
        <w:rPr>
          <w:rFonts w:ascii="Times New Roman" w:hAnsi="Times New Roman" w:cs="Times New Roman"/>
          <w:sz w:val="28"/>
          <w:szCs w:val="28"/>
        </w:rPr>
        <w:t>машины</w:t>
      </w:r>
      <w:r w:rsidR="00B62967">
        <w:rPr>
          <w:rFonts w:ascii="Times New Roman" w:hAnsi="Times New Roman" w:cs="Times New Roman"/>
          <w:sz w:val="28"/>
          <w:szCs w:val="28"/>
        </w:rPr>
        <w:t xml:space="preserve"> и</w:t>
      </w:r>
      <w:r w:rsidRPr="00157175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944DA0">
        <w:rPr>
          <w:rFonts w:ascii="Times New Roman" w:hAnsi="Times New Roman" w:cs="Times New Roman"/>
          <w:sz w:val="28"/>
          <w:szCs w:val="28"/>
        </w:rPr>
        <w:t xml:space="preserve"> </w:t>
      </w:r>
      <w:r w:rsidR="0096779F">
        <w:rPr>
          <w:rFonts w:ascii="Times New Roman" w:hAnsi="Times New Roman" w:cs="Times New Roman"/>
          <w:sz w:val="28"/>
          <w:szCs w:val="28"/>
        </w:rPr>
        <w:t>45,9</w:t>
      </w:r>
      <w:r w:rsidR="00050DF9">
        <w:rPr>
          <w:rFonts w:ascii="Times New Roman" w:hAnsi="Times New Roman" w:cs="Times New Roman"/>
          <w:sz w:val="28"/>
          <w:szCs w:val="28"/>
        </w:rPr>
        <w:t xml:space="preserve"> </w:t>
      </w:r>
      <w:r w:rsidR="009B6C0F">
        <w:rPr>
          <w:rFonts w:ascii="Times New Roman" w:hAnsi="Times New Roman" w:cs="Times New Roman"/>
          <w:sz w:val="28"/>
          <w:szCs w:val="28"/>
        </w:rPr>
        <w:t>%</w:t>
      </w:r>
      <w:r w:rsidRPr="00157175">
        <w:rPr>
          <w:rFonts w:ascii="Times New Roman" w:hAnsi="Times New Roman" w:cs="Times New Roman"/>
          <w:sz w:val="28"/>
          <w:szCs w:val="28"/>
        </w:rPr>
        <w:t xml:space="preserve"> (</w:t>
      </w:r>
      <w:r w:rsidR="0096779F">
        <w:rPr>
          <w:rFonts w:ascii="Times New Roman" w:hAnsi="Times New Roman" w:cs="Times New Roman"/>
          <w:sz w:val="28"/>
          <w:szCs w:val="28"/>
        </w:rPr>
        <w:t>168,2</w:t>
      </w:r>
      <w:r>
        <w:rPr>
          <w:rFonts w:ascii="Times New Roman" w:hAnsi="Times New Roman" w:cs="Times New Roman"/>
          <w:sz w:val="28"/>
          <w:szCs w:val="28"/>
        </w:rPr>
        <w:t xml:space="preserve"> млн. рублей)</w:t>
      </w:r>
      <w:r w:rsidR="00B629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DF" w:rsidRPr="00592F98">
        <w:rPr>
          <w:rFonts w:ascii="Times New Roman" w:hAnsi="Times New Roman" w:cs="Times New Roman"/>
          <w:sz w:val="28"/>
          <w:szCs w:val="28"/>
        </w:rPr>
        <w:t>В 20</w:t>
      </w:r>
      <w:r w:rsidR="0096779F" w:rsidRPr="00592F98">
        <w:rPr>
          <w:rFonts w:ascii="Times New Roman" w:hAnsi="Times New Roman" w:cs="Times New Roman"/>
          <w:sz w:val="28"/>
          <w:szCs w:val="28"/>
        </w:rPr>
        <w:t>21</w:t>
      </w:r>
      <w:r w:rsidR="00250CDF" w:rsidRPr="00592F98">
        <w:rPr>
          <w:rFonts w:ascii="Times New Roman" w:hAnsi="Times New Roman" w:cs="Times New Roman"/>
          <w:sz w:val="28"/>
          <w:szCs w:val="28"/>
        </w:rPr>
        <w:t xml:space="preserve"> году</w:t>
      </w:r>
      <w:r w:rsidR="000005D1" w:rsidRPr="00592F98">
        <w:t xml:space="preserve"> </w:t>
      </w:r>
      <w:r w:rsidR="000005D1" w:rsidRPr="00592F98">
        <w:rPr>
          <w:rFonts w:ascii="Times New Roman" w:hAnsi="Times New Roman" w:cs="Times New Roman"/>
          <w:sz w:val="28"/>
          <w:szCs w:val="28"/>
        </w:rPr>
        <w:t xml:space="preserve">к уровню прошлого года </w:t>
      </w:r>
      <w:r w:rsidR="002D7487" w:rsidRPr="00592F98">
        <w:rPr>
          <w:rFonts w:ascii="Times New Roman" w:hAnsi="Times New Roman" w:cs="Times New Roman"/>
          <w:sz w:val="28"/>
          <w:szCs w:val="28"/>
        </w:rPr>
        <w:t>снизился</w:t>
      </w:r>
      <w:r w:rsidR="002750D9" w:rsidRPr="00592F98">
        <w:rPr>
          <w:rFonts w:ascii="Times New Roman" w:hAnsi="Times New Roman" w:cs="Times New Roman"/>
          <w:sz w:val="28"/>
          <w:szCs w:val="28"/>
        </w:rPr>
        <w:t xml:space="preserve"> </w:t>
      </w:r>
      <w:r w:rsidR="00250CDF" w:rsidRPr="00592F98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EB3CC7" w:rsidRPr="00592F98">
        <w:rPr>
          <w:rFonts w:ascii="Times New Roman" w:hAnsi="Times New Roman" w:cs="Times New Roman"/>
          <w:sz w:val="28"/>
          <w:szCs w:val="28"/>
        </w:rPr>
        <w:t>инвестици</w:t>
      </w:r>
      <w:r w:rsidR="00250CDF" w:rsidRPr="00592F98">
        <w:rPr>
          <w:rFonts w:ascii="Times New Roman" w:hAnsi="Times New Roman" w:cs="Times New Roman"/>
          <w:sz w:val="28"/>
          <w:szCs w:val="28"/>
        </w:rPr>
        <w:t>й</w:t>
      </w:r>
      <w:r w:rsidR="00EB3CC7" w:rsidRPr="00592F98">
        <w:rPr>
          <w:rFonts w:ascii="Times New Roman" w:hAnsi="Times New Roman" w:cs="Times New Roman"/>
          <w:sz w:val="28"/>
          <w:szCs w:val="28"/>
        </w:rPr>
        <w:t xml:space="preserve"> </w:t>
      </w:r>
      <w:r w:rsidR="00523E55" w:rsidRPr="00592F98">
        <w:rPr>
          <w:rFonts w:ascii="Times New Roman" w:hAnsi="Times New Roman" w:cs="Times New Roman"/>
          <w:sz w:val="28"/>
          <w:szCs w:val="28"/>
        </w:rPr>
        <w:t xml:space="preserve">в </w:t>
      </w:r>
      <w:r w:rsidR="002750D9" w:rsidRPr="00592F98">
        <w:rPr>
          <w:rFonts w:ascii="Times New Roman" w:hAnsi="Times New Roman" w:cs="Times New Roman"/>
          <w:sz w:val="28"/>
          <w:szCs w:val="28"/>
        </w:rPr>
        <w:t xml:space="preserve">здания и </w:t>
      </w:r>
      <w:r w:rsidR="008E1BD4" w:rsidRPr="00592F98">
        <w:rPr>
          <w:rFonts w:ascii="Times New Roman" w:hAnsi="Times New Roman" w:cs="Times New Roman"/>
          <w:sz w:val="28"/>
          <w:szCs w:val="28"/>
        </w:rPr>
        <w:t>сооружения</w:t>
      </w:r>
      <w:r w:rsidR="004420A5">
        <w:rPr>
          <w:rFonts w:ascii="Times New Roman" w:hAnsi="Times New Roman" w:cs="Times New Roman"/>
          <w:sz w:val="28"/>
          <w:szCs w:val="28"/>
        </w:rPr>
        <w:t xml:space="preserve"> на 5,4% и составил 112,59 млн. руб.</w:t>
      </w:r>
      <w:r w:rsidR="000005D1" w:rsidRPr="00592F98">
        <w:rPr>
          <w:rFonts w:ascii="Times New Roman" w:hAnsi="Times New Roman" w:cs="Times New Roman"/>
          <w:sz w:val="28"/>
          <w:szCs w:val="28"/>
        </w:rPr>
        <w:t>, инвестици</w:t>
      </w:r>
      <w:r w:rsidR="006D04D5">
        <w:rPr>
          <w:rFonts w:ascii="Times New Roman" w:hAnsi="Times New Roman" w:cs="Times New Roman"/>
          <w:sz w:val="28"/>
          <w:szCs w:val="28"/>
        </w:rPr>
        <w:t>й</w:t>
      </w:r>
      <w:r w:rsidR="000005D1" w:rsidRPr="00592F98">
        <w:rPr>
          <w:rFonts w:ascii="Times New Roman" w:hAnsi="Times New Roman" w:cs="Times New Roman"/>
          <w:sz w:val="28"/>
          <w:szCs w:val="28"/>
        </w:rPr>
        <w:t xml:space="preserve"> в транспортные средства </w:t>
      </w:r>
      <w:r w:rsidR="00592F98" w:rsidRPr="00592F98">
        <w:rPr>
          <w:rFonts w:ascii="Times New Roman" w:hAnsi="Times New Roman" w:cs="Times New Roman"/>
          <w:sz w:val="28"/>
          <w:szCs w:val="28"/>
        </w:rPr>
        <w:t>на 20,6 %</w:t>
      </w:r>
      <w:r w:rsidR="000005D1" w:rsidRPr="00592F98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96779F">
        <w:rPr>
          <w:rFonts w:ascii="Times New Roman" w:hAnsi="Times New Roman" w:cs="Times New Roman"/>
          <w:sz w:val="28"/>
          <w:szCs w:val="28"/>
        </w:rPr>
        <w:t>31,41</w:t>
      </w:r>
      <w:r w:rsidR="000005D1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="00661F24">
        <w:rPr>
          <w:rFonts w:ascii="Times New Roman" w:hAnsi="Times New Roman" w:cs="Times New Roman"/>
          <w:sz w:val="28"/>
          <w:szCs w:val="28"/>
        </w:rPr>
        <w:t>Инвестиции в жилищное строительство</w:t>
      </w:r>
      <w:r w:rsidR="002750D9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</w:t>
      </w:r>
      <w:r w:rsidR="00661F24">
        <w:rPr>
          <w:rFonts w:ascii="Times New Roman" w:hAnsi="Times New Roman" w:cs="Times New Roman"/>
          <w:sz w:val="28"/>
          <w:szCs w:val="28"/>
        </w:rPr>
        <w:t xml:space="preserve"> отсутствуют. </w:t>
      </w:r>
    </w:p>
    <w:p w:rsidR="00FF4CAF" w:rsidRDefault="00661F24" w:rsidP="0066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05525" cy="3476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0D25" w:rsidRPr="00294405" w:rsidRDefault="005C4AE4" w:rsidP="008266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F66A0A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январь-</w:t>
      </w:r>
      <w:r w:rsidR="006C7DD9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декабрь</w:t>
      </w:r>
      <w:r w:rsidR="00F66A0A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6779F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7552F3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66A0A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FD7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индивидуальными застройщиками </w:t>
      </w:r>
      <w:r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введено в действие </w:t>
      </w:r>
      <w:r w:rsidR="00294405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1145</w:t>
      </w:r>
      <w:r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 жилья (</w:t>
      </w:r>
      <w:r w:rsidR="005F156F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ниже</w:t>
      </w:r>
      <w:r w:rsidR="00261FBE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94405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11,8</w:t>
      </w:r>
      <w:r w:rsidR="00250CDF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B59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уровню </w:t>
      </w:r>
      <w:r w:rsidR="00923567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94405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F20E69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7338CE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44FD7" w:rsidRPr="0029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62F85" w:rsidRDefault="00135B77" w:rsidP="00EE1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3F">
        <w:rPr>
          <w:rFonts w:ascii="Times New Roman" w:hAnsi="Times New Roman" w:cs="Times New Roman"/>
          <w:sz w:val="28"/>
          <w:szCs w:val="28"/>
        </w:rPr>
        <w:t xml:space="preserve">В </w:t>
      </w:r>
      <w:r w:rsidR="00F136B2">
        <w:rPr>
          <w:rFonts w:ascii="Times New Roman" w:hAnsi="Times New Roman" w:cs="Times New Roman"/>
          <w:sz w:val="28"/>
          <w:szCs w:val="28"/>
        </w:rPr>
        <w:t>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реализов</w:t>
      </w:r>
      <w:r w:rsidR="00880C70">
        <w:rPr>
          <w:rFonts w:ascii="Times New Roman" w:hAnsi="Times New Roman" w:cs="Times New Roman"/>
          <w:sz w:val="28"/>
          <w:szCs w:val="28"/>
        </w:rPr>
        <w:t>ались</w:t>
      </w:r>
      <w:r w:rsidRPr="00E17C3F">
        <w:rPr>
          <w:rFonts w:ascii="Times New Roman" w:hAnsi="Times New Roman" w:cs="Times New Roman"/>
          <w:sz w:val="28"/>
          <w:szCs w:val="28"/>
        </w:rPr>
        <w:t xml:space="preserve"> </w:t>
      </w:r>
      <w:r w:rsidR="00441FD7">
        <w:rPr>
          <w:rFonts w:ascii="Times New Roman" w:hAnsi="Times New Roman" w:cs="Times New Roman"/>
          <w:sz w:val="28"/>
          <w:szCs w:val="28"/>
        </w:rPr>
        <w:t>следующие инвестиционные проекты:</w:t>
      </w:r>
    </w:p>
    <w:p w:rsidR="00175303" w:rsidRDefault="00175303" w:rsidP="00175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миниколбасного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цена с производством готовых изделий до 500 тонн в год с. Фунтики;</w:t>
      </w:r>
    </w:p>
    <w:p w:rsidR="00175303" w:rsidRDefault="00175303" w:rsidP="00175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детского сада-</w:t>
      </w:r>
      <w:r w:rsidR="00E27E8A">
        <w:rPr>
          <w:rFonts w:ascii="Times New Roman" w:hAnsi="Times New Roman" w:cs="Times New Roman"/>
          <w:sz w:val="28"/>
          <w:szCs w:val="28"/>
        </w:rPr>
        <w:t>ясли на</w:t>
      </w:r>
      <w:r>
        <w:rPr>
          <w:rFonts w:ascii="Times New Roman" w:hAnsi="Times New Roman" w:cs="Times New Roman"/>
          <w:sz w:val="28"/>
          <w:szCs w:val="28"/>
        </w:rPr>
        <w:t xml:space="preserve"> 140 мест в с. Топчиха;</w:t>
      </w:r>
    </w:p>
    <w:p w:rsidR="00175303" w:rsidRDefault="00175303" w:rsidP="00175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коровника на 152 головы ИП Глава КФХ Присяжных И.В;</w:t>
      </w:r>
    </w:p>
    <w:p w:rsidR="00D62F85" w:rsidRDefault="00D62F85" w:rsidP="004C2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62F85">
        <w:rPr>
          <w:rFonts w:ascii="Times New Roman" w:eastAsia="Times New Roman" w:hAnsi="Times New Roman" w:cs="Times New Roman"/>
          <w:sz w:val="28"/>
          <w:szCs w:val="28"/>
        </w:rPr>
        <w:t xml:space="preserve">обустройство </w:t>
      </w:r>
      <w:r w:rsidR="00E27E8A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="00E27E8A" w:rsidRPr="00D62F85">
        <w:rPr>
          <w:rFonts w:ascii="Times New Roman" w:eastAsia="Times New Roman" w:hAnsi="Times New Roman" w:cs="Times New Roman"/>
          <w:sz w:val="28"/>
          <w:szCs w:val="28"/>
        </w:rPr>
        <w:t>площадок</w:t>
      </w:r>
      <w:r w:rsidRPr="00D62F85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EE116A">
        <w:rPr>
          <w:rFonts w:ascii="Times New Roman" w:eastAsia="Times New Roman" w:hAnsi="Times New Roman" w:cs="Times New Roman"/>
          <w:sz w:val="28"/>
          <w:szCs w:val="28"/>
        </w:rPr>
        <w:t>Кировский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2F8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EE116A">
        <w:rPr>
          <w:rFonts w:ascii="Times New Roman" w:eastAsia="Times New Roman" w:hAnsi="Times New Roman" w:cs="Times New Roman"/>
          <w:sz w:val="28"/>
          <w:szCs w:val="28"/>
        </w:rPr>
        <w:t>Зимино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 xml:space="preserve">пос. </w:t>
      </w:r>
      <w:proofErr w:type="gramStart"/>
      <w:r w:rsidR="00EE116A">
        <w:rPr>
          <w:rFonts w:ascii="Times New Roman" w:eastAsia="Times New Roman" w:hAnsi="Times New Roman" w:cs="Times New Roman"/>
          <w:sz w:val="28"/>
          <w:szCs w:val="28"/>
        </w:rPr>
        <w:t>Зеленый</w:t>
      </w:r>
      <w:r w:rsidR="004C2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0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16A">
        <w:rPr>
          <w:rFonts w:ascii="Times New Roman" w:eastAsia="Times New Roman" w:hAnsi="Times New Roman" w:cs="Times New Roman"/>
          <w:sz w:val="28"/>
          <w:szCs w:val="28"/>
        </w:rPr>
        <w:t>с.</w:t>
      </w:r>
      <w:proofErr w:type="gramEnd"/>
      <w:r w:rsidR="00EE116A">
        <w:rPr>
          <w:rFonts w:ascii="Times New Roman" w:eastAsia="Times New Roman" w:hAnsi="Times New Roman" w:cs="Times New Roman"/>
          <w:sz w:val="28"/>
          <w:szCs w:val="28"/>
        </w:rPr>
        <w:t xml:space="preserve"> Фунтики</w:t>
      </w:r>
      <w:r w:rsidR="004C22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116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EE116A">
        <w:rPr>
          <w:rFonts w:ascii="Times New Roman" w:eastAsia="Times New Roman" w:hAnsi="Times New Roman" w:cs="Times New Roman"/>
          <w:sz w:val="28"/>
          <w:szCs w:val="28"/>
        </w:rPr>
        <w:t>Белояровка</w:t>
      </w:r>
      <w:proofErr w:type="spellEnd"/>
      <w:r w:rsidR="004C22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>Макарьевка</w:t>
      </w:r>
      <w:proofErr w:type="spellEnd"/>
      <w:r w:rsidR="00880C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4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405" w:rsidRPr="00294405">
        <w:rPr>
          <w:rFonts w:ascii="Times New Roman" w:eastAsia="Times New Roman" w:hAnsi="Times New Roman" w:cs="Times New Roman"/>
          <w:sz w:val="28"/>
          <w:szCs w:val="28"/>
        </w:rPr>
        <w:t xml:space="preserve">освоено всего </w:t>
      </w:r>
      <w:r w:rsidR="00294405">
        <w:rPr>
          <w:rFonts w:ascii="Times New Roman" w:eastAsia="Times New Roman" w:hAnsi="Times New Roman" w:cs="Times New Roman"/>
          <w:sz w:val="28"/>
          <w:szCs w:val="28"/>
        </w:rPr>
        <w:t>6056,2</w:t>
      </w:r>
      <w:r w:rsidR="00294405" w:rsidRPr="00294405">
        <w:rPr>
          <w:rFonts w:ascii="Times New Roman" w:eastAsia="Times New Roman" w:hAnsi="Times New Roman" w:cs="Times New Roman"/>
          <w:sz w:val="28"/>
          <w:szCs w:val="28"/>
        </w:rPr>
        <w:t xml:space="preserve"> тыс. руб. бюджетных средств, в </w:t>
      </w:r>
      <w:proofErr w:type="spellStart"/>
      <w:r w:rsidR="00294405" w:rsidRPr="0029440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294405" w:rsidRPr="00294405">
        <w:rPr>
          <w:rFonts w:ascii="Times New Roman" w:eastAsia="Times New Roman" w:hAnsi="Times New Roman" w:cs="Times New Roman"/>
          <w:sz w:val="28"/>
          <w:szCs w:val="28"/>
        </w:rPr>
        <w:t xml:space="preserve">. средства КБ- </w:t>
      </w:r>
      <w:r w:rsidR="00294405">
        <w:rPr>
          <w:rFonts w:ascii="Times New Roman" w:eastAsia="Times New Roman" w:hAnsi="Times New Roman" w:cs="Times New Roman"/>
          <w:sz w:val="28"/>
          <w:szCs w:val="28"/>
        </w:rPr>
        <w:t>4465,1</w:t>
      </w:r>
      <w:r w:rsidR="00294405" w:rsidRPr="00294405">
        <w:rPr>
          <w:rFonts w:ascii="Times New Roman" w:eastAsia="Times New Roman" w:hAnsi="Times New Roman" w:cs="Times New Roman"/>
          <w:sz w:val="28"/>
          <w:szCs w:val="28"/>
        </w:rPr>
        <w:t xml:space="preserve"> тыс. руб., РБ – </w:t>
      </w:r>
      <w:r w:rsidR="00294405">
        <w:rPr>
          <w:rFonts w:ascii="Times New Roman" w:eastAsia="Times New Roman" w:hAnsi="Times New Roman" w:cs="Times New Roman"/>
          <w:sz w:val="28"/>
          <w:szCs w:val="28"/>
        </w:rPr>
        <w:t>747,2</w:t>
      </w:r>
      <w:r w:rsidR="00294405" w:rsidRPr="00294405">
        <w:rPr>
          <w:rFonts w:ascii="Times New Roman" w:eastAsia="Times New Roman" w:hAnsi="Times New Roman" w:cs="Times New Roman"/>
          <w:sz w:val="28"/>
          <w:szCs w:val="28"/>
        </w:rPr>
        <w:t xml:space="preserve"> тыс. руб., ВИ – </w:t>
      </w:r>
      <w:r w:rsidR="00294405">
        <w:rPr>
          <w:rFonts w:ascii="Times New Roman" w:eastAsia="Times New Roman" w:hAnsi="Times New Roman" w:cs="Times New Roman"/>
          <w:sz w:val="28"/>
          <w:szCs w:val="28"/>
        </w:rPr>
        <w:t>843,9</w:t>
      </w:r>
      <w:r w:rsidR="00294405" w:rsidRPr="00294405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2944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4405" w:rsidRPr="00294405" w:rsidRDefault="00294405" w:rsidP="0029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94405">
        <w:rPr>
          <w:rFonts w:ascii="Times New Roman" w:eastAsia="Times New Roman" w:hAnsi="Times New Roman" w:cs="Times New Roman"/>
          <w:sz w:val="28"/>
          <w:szCs w:val="28"/>
        </w:rPr>
        <w:t>обустроена пешеходная зона</w:t>
      </w:r>
      <w:r w:rsidR="00FF6886">
        <w:rPr>
          <w:rFonts w:ascii="Times New Roman" w:eastAsia="Times New Roman" w:hAnsi="Times New Roman" w:cs="Times New Roman"/>
          <w:sz w:val="28"/>
          <w:szCs w:val="28"/>
        </w:rPr>
        <w:t xml:space="preserve"> по улице Ленина в с. Топчиха, </w:t>
      </w:r>
      <w:r w:rsidRPr="00294405">
        <w:rPr>
          <w:rFonts w:ascii="Times New Roman" w:eastAsia="Times New Roman" w:hAnsi="Times New Roman" w:cs="Times New Roman"/>
          <w:sz w:val="28"/>
          <w:szCs w:val="28"/>
        </w:rPr>
        <w:t xml:space="preserve">освоено </w:t>
      </w:r>
      <w:r w:rsidR="00FF6886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Pr="00294405">
        <w:rPr>
          <w:rFonts w:ascii="Times New Roman" w:eastAsia="Times New Roman" w:hAnsi="Times New Roman" w:cs="Times New Roman"/>
          <w:sz w:val="28"/>
          <w:szCs w:val="28"/>
        </w:rPr>
        <w:t xml:space="preserve">4040,40 тыс. руб. бюджетных средств, в </w:t>
      </w:r>
      <w:proofErr w:type="spellStart"/>
      <w:r w:rsidRPr="0029440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94405">
        <w:rPr>
          <w:rFonts w:ascii="Times New Roman" w:eastAsia="Times New Roman" w:hAnsi="Times New Roman" w:cs="Times New Roman"/>
          <w:sz w:val="28"/>
          <w:szCs w:val="28"/>
        </w:rPr>
        <w:t>. средства ФБ- 3960 тыс. руб., КБ-40 тыс. руб., РБ – 40,4 тыс. руб.</w:t>
      </w:r>
    </w:p>
    <w:p w:rsidR="000B46F3" w:rsidRDefault="00267BC5" w:rsidP="004C2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5303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 xml:space="preserve"> памятник</w:t>
      </w:r>
      <w:r w:rsidR="004C22E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E3DD7">
        <w:rPr>
          <w:rFonts w:ascii="Times New Roman" w:eastAsia="Times New Roman" w:hAnsi="Times New Roman" w:cs="Times New Roman"/>
          <w:sz w:val="28"/>
          <w:szCs w:val="28"/>
        </w:rPr>
        <w:t xml:space="preserve"> и мемориалов</w:t>
      </w:r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 xml:space="preserve"> землякам, погибшим в годы Великой Отечественной войны (1941-1945) </w:t>
      </w:r>
      <w:r w:rsidR="004C22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175303">
        <w:rPr>
          <w:rFonts w:ascii="Times New Roman" w:eastAsia="Times New Roman" w:hAnsi="Times New Roman" w:cs="Times New Roman"/>
          <w:sz w:val="28"/>
          <w:szCs w:val="28"/>
        </w:rPr>
        <w:t>Чистюнька</w:t>
      </w:r>
      <w:proofErr w:type="spellEnd"/>
      <w:r w:rsidR="00880C70">
        <w:rPr>
          <w:rFonts w:ascii="Times New Roman" w:eastAsia="Times New Roman" w:hAnsi="Times New Roman" w:cs="Times New Roman"/>
          <w:sz w:val="28"/>
          <w:szCs w:val="28"/>
        </w:rPr>
        <w:t>, освоено 2128 тыс. руб. бюджетных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46F3" w:rsidRDefault="000B46F3" w:rsidP="004C2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7BC5">
        <w:rPr>
          <w:rFonts w:ascii="Times New Roman" w:eastAsia="Times New Roman" w:hAnsi="Times New Roman" w:cs="Times New Roman"/>
          <w:sz w:val="28"/>
          <w:szCs w:val="28"/>
        </w:rPr>
        <w:t>приобретена сельскохозяйственная техника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 Глава КФХ Иванов С. С, АО ПР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Чистюньский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ООО «Система», ИП Глава КФХ Горлов О.В,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ООО «КХ Лысова П.М»,</w:t>
      </w:r>
      <w:r w:rsidR="00267BC5">
        <w:rPr>
          <w:rFonts w:ascii="Times New Roman" w:eastAsia="Times New Roman" w:hAnsi="Times New Roman" w:cs="Times New Roman"/>
          <w:sz w:val="28"/>
          <w:szCs w:val="28"/>
        </w:rPr>
        <w:t xml:space="preserve"> КФХ </w:t>
      </w:r>
      <w:proofErr w:type="spellStart"/>
      <w:r w:rsidR="00267BC5">
        <w:rPr>
          <w:rFonts w:ascii="Times New Roman" w:eastAsia="Times New Roman" w:hAnsi="Times New Roman" w:cs="Times New Roman"/>
          <w:sz w:val="28"/>
          <w:szCs w:val="28"/>
        </w:rPr>
        <w:t>Бисс</w:t>
      </w:r>
      <w:proofErr w:type="spellEnd"/>
      <w:r w:rsidR="00267BC5">
        <w:rPr>
          <w:rFonts w:ascii="Times New Roman" w:eastAsia="Times New Roman" w:hAnsi="Times New Roman" w:cs="Times New Roman"/>
          <w:sz w:val="28"/>
          <w:szCs w:val="28"/>
        </w:rPr>
        <w:t xml:space="preserve"> Ф.Е,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ОАО «Раздольное», ИП Глава КФХ Присяжных И.В, ИП Глава КФХ Сыпко А.А</w:t>
      </w:r>
      <w:r w:rsidR="00267B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7BC5" w:rsidRDefault="00267BC5" w:rsidP="004C2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приобретено производственное оборудование ООО «СО «Топчихинский мелькомбинат»;</w:t>
      </w:r>
    </w:p>
    <w:p w:rsidR="00267BC5" w:rsidRDefault="00267BC5" w:rsidP="00267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изготовление ПСД по реконструкции водопроводных сетей и сооружений </w:t>
      </w:r>
      <w:r w:rsidR="00880C7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Читюнька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5C1B" w:rsidRPr="00B35C1B">
        <w:rPr>
          <w:rFonts w:ascii="Times New Roman" w:eastAsia="Times New Roman" w:hAnsi="Times New Roman" w:cs="Times New Roman"/>
          <w:sz w:val="28"/>
          <w:szCs w:val="28"/>
        </w:rPr>
        <w:t xml:space="preserve">освоено всего </w:t>
      </w:r>
      <w:r w:rsidR="00B35C1B">
        <w:rPr>
          <w:rFonts w:ascii="Times New Roman" w:eastAsia="Times New Roman" w:hAnsi="Times New Roman" w:cs="Times New Roman"/>
          <w:sz w:val="28"/>
          <w:szCs w:val="28"/>
        </w:rPr>
        <w:t>5831,7</w:t>
      </w:r>
      <w:r w:rsidR="00B35C1B" w:rsidRPr="00B35C1B">
        <w:rPr>
          <w:rFonts w:ascii="Times New Roman" w:eastAsia="Times New Roman" w:hAnsi="Times New Roman" w:cs="Times New Roman"/>
          <w:sz w:val="28"/>
          <w:szCs w:val="28"/>
        </w:rPr>
        <w:t xml:space="preserve"> тыс. руб. бюджетных средств, в </w:t>
      </w:r>
      <w:proofErr w:type="spellStart"/>
      <w:r w:rsidR="00B35C1B" w:rsidRPr="00B35C1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B35C1B" w:rsidRPr="00B35C1B">
        <w:rPr>
          <w:rFonts w:ascii="Times New Roman" w:eastAsia="Times New Roman" w:hAnsi="Times New Roman" w:cs="Times New Roman"/>
          <w:sz w:val="28"/>
          <w:szCs w:val="28"/>
        </w:rPr>
        <w:t xml:space="preserve">. средства КБ- </w:t>
      </w:r>
      <w:r w:rsidR="00B35C1B">
        <w:rPr>
          <w:rFonts w:ascii="Times New Roman" w:eastAsia="Times New Roman" w:hAnsi="Times New Roman" w:cs="Times New Roman"/>
          <w:sz w:val="28"/>
          <w:szCs w:val="28"/>
        </w:rPr>
        <w:t>5248,5</w:t>
      </w:r>
      <w:r w:rsidR="00B35C1B" w:rsidRPr="00B35C1B">
        <w:rPr>
          <w:rFonts w:ascii="Times New Roman" w:eastAsia="Times New Roman" w:hAnsi="Times New Roman" w:cs="Times New Roman"/>
          <w:sz w:val="28"/>
          <w:szCs w:val="28"/>
        </w:rPr>
        <w:t xml:space="preserve"> тыс. руб., РБ – </w:t>
      </w:r>
      <w:r w:rsidR="00B35C1B">
        <w:rPr>
          <w:rFonts w:ascii="Times New Roman" w:eastAsia="Times New Roman" w:hAnsi="Times New Roman" w:cs="Times New Roman"/>
          <w:sz w:val="28"/>
          <w:szCs w:val="28"/>
        </w:rPr>
        <w:t>583,2</w:t>
      </w:r>
      <w:r w:rsidR="00B35C1B" w:rsidRPr="00B35C1B">
        <w:rPr>
          <w:rFonts w:ascii="Times New Roman" w:eastAsia="Times New Roman" w:hAnsi="Times New Roman" w:cs="Times New Roman"/>
          <w:sz w:val="28"/>
          <w:szCs w:val="28"/>
        </w:rPr>
        <w:t xml:space="preserve"> тыс. руб.,</w:t>
      </w:r>
      <w:r w:rsidR="00B3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C7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35C1B">
        <w:rPr>
          <w:rFonts w:ascii="Times New Roman" w:eastAsia="Times New Roman" w:hAnsi="Times New Roman" w:cs="Times New Roman"/>
          <w:sz w:val="28"/>
          <w:szCs w:val="28"/>
        </w:rPr>
        <w:t>с. Парфеново</w:t>
      </w:r>
      <w:r w:rsidR="00B35C1B" w:rsidRPr="00B35C1B">
        <w:rPr>
          <w:rFonts w:ascii="Times New Roman" w:eastAsia="Times New Roman" w:hAnsi="Times New Roman" w:cs="Times New Roman"/>
          <w:sz w:val="28"/>
          <w:szCs w:val="28"/>
        </w:rPr>
        <w:t xml:space="preserve"> освоено всего </w:t>
      </w:r>
      <w:r w:rsidR="00B35C1B">
        <w:rPr>
          <w:rFonts w:ascii="Times New Roman" w:eastAsia="Times New Roman" w:hAnsi="Times New Roman" w:cs="Times New Roman"/>
          <w:sz w:val="28"/>
          <w:szCs w:val="28"/>
        </w:rPr>
        <w:t>4845,2</w:t>
      </w:r>
      <w:r w:rsidR="00B35C1B" w:rsidRPr="00B35C1B">
        <w:rPr>
          <w:rFonts w:ascii="Times New Roman" w:eastAsia="Times New Roman" w:hAnsi="Times New Roman" w:cs="Times New Roman"/>
          <w:sz w:val="28"/>
          <w:szCs w:val="28"/>
        </w:rPr>
        <w:t xml:space="preserve"> тыс. руб. бюджетных средств, в </w:t>
      </w:r>
      <w:proofErr w:type="spellStart"/>
      <w:r w:rsidR="00B35C1B" w:rsidRPr="00B35C1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B35C1B" w:rsidRPr="00B35C1B">
        <w:rPr>
          <w:rFonts w:ascii="Times New Roman" w:eastAsia="Times New Roman" w:hAnsi="Times New Roman" w:cs="Times New Roman"/>
          <w:sz w:val="28"/>
          <w:szCs w:val="28"/>
        </w:rPr>
        <w:t xml:space="preserve">. средства КБ- </w:t>
      </w:r>
      <w:r w:rsidR="00B35C1B">
        <w:rPr>
          <w:rFonts w:ascii="Times New Roman" w:eastAsia="Times New Roman" w:hAnsi="Times New Roman" w:cs="Times New Roman"/>
          <w:sz w:val="28"/>
          <w:szCs w:val="28"/>
        </w:rPr>
        <w:t>4360,7</w:t>
      </w:r>
      <w:r w:rsidR="00B35C1B" w:rsidRPr="00B35C1B">
        <w:rPr>
          <w:rFonts w:ascii="Times New Roman" w:eastAsia="Times New Roman" w:hAnsi="Times New Roman" w:cs="Times New Roman"/>
          <w:sz w:val="28"/>
          <w:szCs w:val="28"/>
        </w:rPr>
        <w:t xml:space="preserve"> тыс. руб., РБ – </w:t>
      </w:r>
      <w:r w:rsidR="00B35C1B">
        <w:rPr>
          <w:rFonts w:ascii="Times New Roman" w:eastAsia="Times New Roman" w:hAnsi="Times New Roman" w:cs="Times New Roman"/>
          <w:sz w:val="28"/>
          <w:szCs w:val="28"/>
        </w:rPr>
        <w:t>484,5 тыс. руб.</w:t>
      </w:r>
    </w:p>
    <w:p w:rsidR="00B35C1B" w:rsidRDefault="00B35C1B" w:rsidP="00B35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Продолжается строительство объекта капитального строительства «Автоматизированная угольная котельная в с. Топчиха, </w:t>
      </w:r>
      <w:proofErr w:type="spellStart"/>
      <w:r w:rsidRPr="00B35C1B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 w:rsidRPr="00B35C1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края».</w:t>
      </w:r>
    </w:p>
    <w:p w:rsidR="00FF6886" w:rsidRDefault="00EE116A" w:rsidP="00FF6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A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мероприятий муниципальной программы «Комплексное развитие сельских территорий </w:t>
      </w:r>
      <w:proofErr w:type="spellStart"/>
      <w:r w:rsidRPr="00EE116A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 w:rsidR="006A3EB1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 в 2021 проведено благоустройство кладбища в с. Красноярка</w:t>
      </w:r>
      <w:r w:rsidR="00880C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A3EB1">
        <w:rPr>
          <w:rFonts w:ascii="Times New Roman" w:eastAsia="Times New Roman" w:hAnsi="Times New Roman" w:cs="Times New Roman"/>
          <w:sz w:val="28"/>
          <w:szCs w:val="28"/>
        </w:rPr>
        <w:t xml:space="preserve">освоено всего 1045,6 тыс. руб. бюджетных средств, в </w:t>
      </w:r>
      <w:proofErr w:type="spellStart"/>
      <w:r w:rsidR="006A3EB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6A3EB1">
        <w:rPr>
          <w:rFonts w:ascii="Times New Roman" w:eastAsia="Times New Roman" w:hAnsi="Times New Roman" w:cs="Times New Roman"/>
          <w:sz w:val="28"/>
          <w:szCs w:val="28"/>
        </w:rPr>
        <w:t>. средства КБ- 863,605 тыс. руб., РБ – 104,56 тыс. руб., ВИ – 77,3 тыс. руб.</w:t>
      </w:r>
      <w:r w:rsidR="00880C70">
        <w:rPr>
          <w:rFonts w:ascii="Times New Roman" w:eastAsia="Times New Roman" w:hAnsi="Times New Roman" w:cs="Times New Roman"/>
          <w:sz w:val="28"/>
          <w:szCs w:val="28"/>
        </w:rPr>
        <w:t>)</w:t>
      </w:r>
      <w:r w:rsidR="006A3EB1">
        <w:rPr>
          <w:rFonts w:ascii="Times New Roman" w:eastAsia="Times New Roman" w:hAnsi="Times New Roman" w:cs="Times New Roman"/>
          <w:sz w:val="28"/>
          <w:szCs w:val="28"/>
        </w:rPr>
        <w:t>, в с. Сидоровка</w:t>
      </w:r>
      <w:r w:rsidR="00880C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A3EB1" w:rsidRPr="006A3EB1">
        <w:rPr>
          <w:rFonts w:ascii="Times New Roman" w:eastAsia="Times New Roman" w:hAnsi="Times New Roman" w:cs="Times New Roman"/>
          <w:sz w:val="28"/>
          <w:szCs w:val="28"/>
        </w:rPr>
        <w:t xml:space="preserve">освоено всего </w:t>
      </w:r>
      <w:r w:rsidR="006A3EB1">
        <w:rPr>
          <w:rFonts w:ascii="Times New Roman" w:eastAsia="Times New Roman" w:hAnsi="Times New Roman" w:cs="Times New Roman"/>
          <w:sz w:val="28"/>
          <w:szCs w:val="28"/>
        </w:rPr>
        <w:t>1369,5</w:t>
      </w:r>
      <w:r w:rsidR="006A3EB1" w:rsidRPr="006A3EB1">
        <w:rPr>
          <w:rFonts w:ascii="Times New Roman" w:eastAsia="Times New Roman" w:hAnsi="Times New Roman" w:cs="Times New Roman"/>
          <w:sz w:val="28"/>
          <w:szCs w:val="28"/>
        </w:rPr>
        <w:t xml:space="preserve"> тыс. руб. бюджетных средств, в </w:t>
      </w:r>
      <w:proofErr w:type="spellStart"/>
      <w:r w:rsidR="006A3EB1" w:rsidRPr="006A3EB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6A3EB1" w:rsidRPr="006A3EB1">
        <w:rPr>
          <w:rFonts w:ascii="Times New Roman" w:eastAsia="Times New Roman" w:hAnsi="Times New Roman" w:cs="Times New Roman"/>
          <w:sz w:val="28"/>
          <w:szCs w:val="28"/>
        </w:rPr>
        <w:t>. средства КБ</w:t>
      </w:r>
      <w:r w:rsidR="00B3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EB1" w:rsidRPr="006A3E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3EB1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6A3EB1" w:rsidRPr="006A3EB1">
        <w:rPr>
          <w:rFonts w:ascii="Times New Roman" w:eastAsia="Times New Roman" w:hAnsi="Times New Roman" w:cs="Times New Roman"/>
          <w:sz w:val="28"/>
          <w:szCs w:val="28"/>
        </w:rPr>
        <w:t xml:space="preserve"> тыс. руб., РБ – </w:t>
      </w:r>
      <w:r w:rsidR="00294405">
        <w:rPr>
          <w:rFonts w:ascii="Times New Roman" w:eastAsia="Times New Roman" w:hAnsi="Times New Roman" w:cs="Times New Roman"/>
          <w:sz w:val="28"/>
          <w:szCs w:val="28"/>
        </w:rPr>
        <w:t xml:space="preserve">216 </w:t>
      </w:r>
      <w:r w:rsidR="006A3EB1" w:rsidRPr="006A3EB1">
        <w:rPr>
          <w:rFonts w:ascii="Times New Roman" w:eastAsia="Times New Roman" w:hAnsi="Times New Roman" w:cs="Times New Roman"/>
          <w:sz w:val="28"/>
          <w:szCs w:val="28"/>
        </w:rPr>
        <w:t xml:space="preserve">тыс. руб., ВИ – </w:t>
      </w:r>
      <w:r w:rsidR="00294405">
        <w:rPr>
          <w:rFonts w:ascii="Times New Roman" w:eastAsia="Times New Roman" w:hAnsi="Times New Roman" w:cs="Times New Roman"/>
          <w:sz w:val="28"/>
          <w:szCs w:val="28"/>
        </w:rPr>
        <w:t>153,5 тыс. руб</w:t>
      </w:r>
      <w:r w:rsidR="00880C70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EE11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6886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</w:t>
      </w:r>
      <w:r w:rsidR="006C7516">
        <w:rPr>
          <w:rFonts w:ascii="Times New Roman" w:eastAsia="Times New Roman" w:hAnsi="Times New Roman" w:cs="Times New Roman"/>
          <w:sz w:val="28"/>
          <w:szCs w:val="28"/>
        </w:rPr>
        <w:t>мероприятия программы</w:t>
      </w:r>
      <w:r w:rsidR="00FF6886">
        <w:rPr>
          <w:rFonts w:ascii="Times New Roman" w:eastAsia="Times New Roman" w:hAnsi="Times New Roman" w:cs="Times New Roman"/>
          <w:sz w:val="28"/>
          <w:szCs w:val="28"/>
        </w:rPr>
        <w:t xml:space="preserve"> «Улучшение жилищных условий проживающих на сельских территориях граждан путем строительства (приобретения) жилья с использованием социальных выплат </w:t>
      </w:r>
      <w:r w:rsidR="00880C70">
        <w:rPr>
          <w:rFonts w:ascii="Times New Roman" w:eastAsia="Times New Roman" w:hAnsi="Times New Roman" w:cs="Times New Roman"/>
          <w:sz w:val="28"/>
          <w:szCs w:val="28"/>
        </w:rPr>
        <w:t>1 семья п</w:t>
      </w:r>
      <w:r w:rsidR="006C7516">
        <w:rPr>
          <w:rFonts w:ascii="Times New Roman" w:eastAsia="Times New Roman" w:hAnsi="Times New Roman" w:cs="Times New Roman"/>
          <w:sz w:val="28"/>
          <w:szCs w:val="28"/>
        </w:rPr>
        <w:t>олучила сертификат (</w:t>
      </w:r>
      <w:r w:rsidR="00FF6886">
        <w:rPr>
          <w:rFonts w:ascii="Times New Roman" w:eastAsia="Times New Roman" w:hAnsi="Times New Roman" w:cs="Times New Roman"/>
          <w:sz w:val="28"/>
          <w:szCs w:val="28"/>
        </w:rPr>
        <w:t>освоено всего 1498,56</w:t>
      </w:r>
      <w:r w:rsidR="00B35C1B">
        <w:rPr>
          <w:rFonts w:ascii="Times New Roman" w:eastAsia="Times New Roman" w:hAnsi="Times New Roman" w:cs="Times New Roman"/>
          <w:sz w:val="28"/>
          <w:szCs w:val="28"/>
        </w:rPr>
        <w:t xml:space="preserve"> тыс. руб., бюджетных средств в т. ч КБ - 1049 тыс. руб., ВИ – 449,56 тыс.</w:t>
      </w:r>
      <w:r w:rsidR="006C7516">
        <w:rPr>
          <w:rFonts w:ascii="Times New Roman" w:eastAsia="Times New Roman" w:hAnsi="Times New Roman" w:cs="Times New Roman"/>
          <w:sz w:val="28"/>
          <w:szCs w:val="28"/>
        </w:rPr>
        <w:t xml:space="preserve"> руб.)</w:t>
      </w:r>
    </w:p>
    <w:p w:rsidR="00D62F85" w:rsidRPr="004C22E8" w:rsidRDefault="00D62F85" w:rsidP="00FF6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62F85" w:rsidRPr="004C22E8" w:rsidSect="00F01D6C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10F" w:rsidRDefault="0097410F" w:rsidP="00975F59">
      <w:pPr>
        <w:spacing w:after="0" w:line="240" w:lineRule="auto"/>
      </w:pPr>
      <w:r>
        <w:separator/>
      </w:r>
    </w:p>
  </w:endnote>
  <w:endnote w:type="continuationSeparator" w:id="0">
    <w:p w:rsidR="0097410F" w:rsidRDefault="0097410F" w:rsidP="0097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10F" w:rsidRDefault="0097410F" w:rsidP="00975F59">
      <w:pPr>
        <w:spacing w:after="0" w:line="240" w:lineRule="auto"/>
      </w:pPr>
      <w:r>
        <w:separator/>
      </w:r>
    </w:p>
  </w:footnote>
  <w:footnote w:type="continuationSeparator" w:id="0">
    <w:p w:rsidR="0097410F" w:rsidRDefault="0097410F" w:rsidP="0097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3231"/>
      <w:docPartObj>
        <w:docPartGallery w:val="Page Numbers (Top of Page)"/>
        <w:docPartUnique/>
      </w:docPartObj>
    </w:sdtPr>
    <w:sdtEndPr/>
    <w:sdtContent>
      <w:p w:rsidR="00975F59" w:rsidRDefault="0063248A">
        <w:pPr>
          <w:pStyle w:val="a3"/>
          <w:jc w:val="right"/>
        </w:pPr>
        <w:r w:rsidRPr="00975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5F59" w:rsidRPr="00975F5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75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751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75F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5F59" w:rsidRDefault="00975F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E9"/>
    <w:rsid w:val="000005D1"/>
    <w:rsid w:val="00007D65"/>
    <w:rsid w:val="00015BD5"/>
    <w:rsid w:val="00031FE3"/>
    <w:rsid w:val="00032404"/>
    <w:rsid w:val="0003308C"/>
    <w:rsid w:val="000341C2"/>
    <w:rsid w:val="00040FC3"/>
    <w:rsid w:val="00050DF9"/>
    <w:rsid w:val="000514C9"/>
    <w:rsid w:val="0006456E"/>
    <w:rsid w:val="00085383"/>
    <w:rsid w:val="0008739F"/>
    <w:rsid w:val="000877B4"/>
    <w:rsid w:val="000A452F"/>
    <w:rsid w:val="000B4536"/>
    <w:rsid w:val="000B46F3"/>
    <w:rsid w:val="000E6621"/>
    <w:rsid w:val="000F19AF"/>
    <w:rsid w:val="001051F9"/>
    <w:rsid w:val="00117380"/>
    <w:rsid w:val="00126334"/>
    <w:rsid w:val="00130F2F"/>
    <w:rsid w:val="00135B77"/>
    <w:rsid w:val="00142EB1"/>
    <w:rsid w:val="00145740"/>
    <w:rsid w:val="00155DB2"/>
    <w:rsid w:val="00157175"/>
    <w:rsid w:val="00175303"/>
    <w:rsid w:val="0018648F"/>
    <w:rsid w:val="001A226A"/>
    <w:rsid w:val="001B20D5"/>
    <w:rsid w:val="001C1FED"/>
    <w:rsid w:val="001C2475"/>
    <w:rsid w:val="001C2B31"/>
    <w:rsid w:val="001E2D52"/>
    <w:rsid w:val="001F18C1"/>
    <w:rsid w:val="0020058E"/>
    <w:rsid w:val="00202080"/>
    <w:rsid w:val="00212B88"/>
    <w:rsid w:val="00236876"/>
    <w:rsid w:val="00240F3A"/>
    <w:rsid w:val="00242743"/>
    <w:rsid w:val="00250CDF"/>
    <w:rsid w:val="00260252"/>
    <w:rsid w:val="00261FBE"/>
    <w:rsid w:val="002676A6"/>
    <w:rsid w:val="00267BC5"/>
    <w:rsid w:val="002750D9"/>
    <w:rsid w:val="00277269"/>
    <w:rsid w:val="0027787D"/>
    <w:rsid w:val="00290057"/>
    <w:rsid w:val="00290CD2"/>
    <w:rsid w:val="00294405"/>
    <w:rsid w:val="00295AEA"/>
    <w:rsid w:val="002C166C"/>
    <w:rsid w:val="002D7487"/>
    <w:rsid w:val="002E1283"/>
    <w:rsid w:val="002E4275"/>
    <w:rsid w:val="003344A5"/>
    <w:rsid w:val="00334F7E"/>
    <w:rsid w:val="00335F83"/>
    <w:rsid w:val="00340134"/>
    <w:rsid w:val="0034228A"/>
    <w:rsid w:val="00346A92"/>
    <w:rsid w:val="003538DF"/>
    <w:rsid w:val="00354A5F"/>
    <w:rsid w:val="00356788"/>
    <w:rsid w:val="0036451C"/>
    <w:rsid w:val="00386F9F"/>
    <w:rsid w:val="00392EAD"/>
    <w:rsid w:val="003947A0"/>
    <w:rsid w:val="003A06C5"/>
    <w:rsid w:val="003A7DFB"/>
    <w:rsid w:val="003B5DE4"/>
    <w:rsid w:val="003C130B"/>
    <w:rsid w:val="003D061A"/>
    <w:rsid w:val="003D0BE8"/>
    <w:rsid w:val="003D2EBA"/>
    <w:rsid w:val="003F3F63"/>
    <w:rsid w:val="0040716F"/>
    <w:rsid w:val="00411BBA"/>
    <w:rsid w:val="00423552"/>
    <w:rsid w:val="00425248"/>
    <w:rsid w:val="00430777"/>
    <w:rsid w:val="00431708"/>
    <w:rsid w:val="00434E01"/>
    <w:rsid w:val="0043526C"/>
    <w:rsid w:val="00436B59"/>
    <w:rsid w:val="004415DD"/>
    <w:rsid w:val="00441FD7"/>
    <w:rsid w:val="00442019"/>
    <w:rsid w:val="004420A5"/>
    <w:rsid w:val="00450B1A"/>
    <w:rsid w:val="00453B49"/>
    <w:rsid w:val="00457179"/>
    <w:rsid w:val="0046397E"/>
    <w:rsid w:val="004666C0"/>
    <w:rsid w:val="004876F9"/>
    <w:rsid w:val="004A7240"/>
    <w:rsid w:val="004B384C"/>
    <w:rsid w:val="004B5CD9"/>
    <w:rsid w:val="004B7CF1"/>
    <w:rsid w:val="004C1FA0"/>
    <w:rsid w:val="004C22E8"/>
    <w:rsid w:val="004E3DD7"/>
    <w:rsid w:val="00500D25"/>
    <w:rsid w:val="00504231"/>
    <w:rsid w:val="00511305"/>
    <w:rsid w:val="00523E55"/>
    <w:rsid w:val="00532CB2"/>
    <w:rsid w:val="00547A56"/>
    <w:rsid w:val="00565588"/>
    <w:rsid w:val="00592F98"/>
    <w:rsid w:val="00596EC5"/>
    <w:rsid w:val="005B6EAA"/>
    <w:rsid w:val="005C1605"/>
    <w:rsid w:val="005C4AE4"/>
    <w:rsid w:val="005D0446"/>
    <w:rsid w:val="005F156F"/>
    <w:rsid w:val="005F56EB"/>
    <w:rsid w:val="0060428E"/>
    <w:rsid w:val="006072E0"/>
    <w:rsid w:val="0061360B"/>
    <w:rsid w:val="0063248A"/>
    <w:rsid w:val="006372DA"/>
    <w:rsid w:val="006562D0"/>
    <w:rsid w:val="00661F24"/>
    <w:rsid w:val="00672736"/>
    <w:rsid w:val="006A3EB1"/>
    <w:rsid w:val="006B2961"/>
    <w:rsid w:val="006C33CB"/>
    <w:rsid w:val="006C3D2A"/>
    <w:rsid w:val="006C5685"/>
    <w:rsid w:val="006C7516"/>
    <w:rsid w:val="006C7DD9"/>
    <w:rsid w:val="006D04D5"/>
    <w:rsid w:val="006E3273"/>
    <w:rsid w:val="006E6B7D"/>
    <w:rsid w:val="006F7BCD"/>
    <w:rsid w:val="007067E4"/>
    <w:rsid w:val="00713064"/>
    <w:rsid w:val="00720A5F"/>
    <w:rsid w:val="007338CE"/>
    <w:rsid w:val="00735A71"/>
    <w:rsid w:val="00741576"/>
    <w:rsid w:val="007552F3"/>
    <w:rsid w:val="00773671"/>
    <w:rsid w:val="00782296"/>
    <w:rsid w:val="007829EB"/>
    <w:rsid w:val="00790358"/>
    <w:rsid w:val="007905DA"/>
    <w:rsid w:val="007A0482"/>
    <w:rsid w:val="007B1F66"/>
    <w:rsid w:val="007B295A"/>
    <w:rsid w:val="007C50FD"/>
    <w:rsid w:val="00806A43"/>
    <w:rsid w:val="0080796E"/>
    <w:rsid w:val="00814A37"/>
    <w:rsid w:val="0082205A"/>
    <w:rsid w:val="008266C6"/>
    <w:rsid w:val="00826A54"/>
    <w:rsid w:val="00843314"/>
    <w:rsid w:val="00857017"/>
    <w:rsid w:val="0086083C"/>
    <w:rsid w:val="008612DC"/>
    <w:rsid w:val="00861364"/>
    <w:rsid w:val="0087428B"/>
    <w:rsid w:val="008804E1"/>
    <w:rsid w:val="00880C70"/>
    <w:rsid w:val="00895F89"/>
    <w:rsid w:val="008A1203"/>
    <w:rsid w:val="008A297D"/>
    <w:rsid w:val="008B2541"/>
    <w:rsid w:val="008E1BD4"/>
    <w:rsid w:val="009111FE"/>
    <w:rsid w:val="009132B6"/>
    <w:rsid w:val="009223B3"/>
    <w:rsid w:val="00923567"/>
    <w:rsid w:val="00944DA0"/>
    <w:rsid w:val="00957A33"/>
    <w:rsid w:val="0096525F"/>
    <w:rsid w:val="0096779F"/>
    <w:rsid w:val="0097002E"/>
    <w:rsid w:val="0097410F"/>
    <w:rsid w:val="0097452C"/>
    <w:rsid w:val="00975F59"/>
    <w:rsid w:val="009806EE"/>
    <w:rsid w:val="00982A8F"/>
    <w:rsid w:val="00993FF6"/>
    <w:rsid w:val="009948C3"/>
    <w:rsid w:val="009951C1"/>
    <w:rsid w:val="009B6C0F"/>
    <w:rsid w:val="009B7912"/>
    <w:rsid w:val="009C1BE5"/>
    <w:rsid w:val="009D6580"/>
    <w:rsid w:val="009F3027"/>
    <w:rsid w:val="00A001A3"/>
    <w:rsid w:val="00A00315"/>
    <w:rsid w:val="00A14F11"/>
    <w:rsid w:val="00A203A2"/>
    <w:rsid w:val="00A254D9"/>
    <w:rsid w:val="00A3618D"/>
    <w:rsid w:val="00A44D42"/>
    <w:rsid w:val="00A5730A"/>
    <w:rsid w:val="00A70D3F"/>
    <w:rsid w:val="00AC03E6"/>
    <w:rsid w:val="00AC3BF3"/>
    <w:rsid w:val="00AC6C5F"/>
    <w:rsid w:val="00AD3962"/>
    <w:rsid w:val="00AD4B16"/>
    <w:rsid w:val="00AE4CFA"/>
    <w:rsid w:val="00AF3052"/>
    <w:rsid w:val="00AF4B08"/>
    <w:rsid w:val="00B1586A"/>
    <w:rsid w:val="00B32488"/>
    <w:rsid w:val="00B35C1B"/>
    <w:rsid w:val="00B5171F"/>
    <w:rsid w:val="00B55FF9"/>
    <w:rsid w:val="00B62967"/>
    <w:rsid w:val="00B73DAE"/>
    <w:rsid w:val="00B748B8"/>
    <w:rsid w:val="00B83C26"/>
    <w:rsid w:val="00B93E28"/>
    <w:rsid w:val="00B97E4B"/>
    <w:rsid w:val="00BB3FD3"/>
    <w:rsid w:val="00BC5514"/>
    <w:rsid w:val="00BC6BD2"/>
    <w:rsid w:val="00BE6267"/>
    <w:rsid w:val="00BF5FE2"/>
    <w:rsid w:val="00C0690E"/>
    <w:rsid w:val="00C14938"/>
    <w:rsid w:val="00C150DC"/>
    <w:rsid w:val="00C15B4B"/>
    <w:rsid w:val="00C313E2"/>
    <w:rsid w:val="00C326E5"/>
    <w:rsid w:val="00C37263"/>
    <w:rsid w:val="00C42A76"/>
    <w:rsid w:val="00C42E7E"/>
    <w:rsid w:val="00C54705"/>
    <w:rsid w:val="00C56099"/>
    <w:rsid w:val="00C738AE"/>
    <w:rsid w:val="00C74611"/>
    <w:rsid w:val="00C753CB"/>
    <w:rsid w:val="00C779A4"/>
    <w:rsid w:val="00C839A1"/>
    <w:rsid w:val="00C95604"/>
    <w:rsid w:val="00C964E9"/>
    <w:rsid w:val="00CB7873"/>
    <w:rsid w:val="00CC2A32"/>
    <w:rsid w:val="00CC45C2"/>
    <w:rsid w:val="00CC4B0B"/>
    <w:rsid w:val="00CD7E96"/>
    <w:rsid w:val="00CF2281"/>
    <w:rsid w:val="00D01878"/>
    <w:rsid w:val="00D05625"/>
    <w:rsid w:val="00D1498F"/>
    <w:rsid w:val="00D3465D"/>
    <w:rsid w:val="00D379EB"/>
    <w:rsid w:val="00D4446B"/>
    <w:rsid w:val="00D44FD7"/>
    <w:rsid w:val="00D45A85"/>
    <w:rsid w:val="00D62F85"/>
    <w:rsid w:val="00D92DA4"/>
    <w:rsid w:val="00DA5C29"/>
    <w:rsid w:val="00DD2837"/>
    <w:rsid w:val="00DD56F2"/>
    <w:rsid w:val="00DE5B28"/>
    <w:rsid w:val="00DE6AED"/>
    <w:rsid w:val="00DF4CB8"/>
    <w:rsid w:val="00E00984"/>
    <w:rsid w:val="00E17C3F"/>
    <w:rsid w:val="00E23B5F"/>
    <w:rsid w:val="00E2651A"/>
    <w:rsid w:val="00E27603"/>
    <w:rsid w:val="00E27E8A"/>
    <w:rsid w:val="00E369BE"/>
    <w:rsid w:val="00E615FD"/>
    <w:rsid w:val="00E63C2A"/>
    <w:rsid w:val="00E90052"/>
    <w:rsid w:val="00E92CC8"/>
    <w:rsid w:val="00EB2C82"/>
    <w:rsid w:val="00EB3CC7"/>
    <w:rsid w:val="00ED0536"/>
    <w:rsid w:val="00ED310F"/>
    <w:rsid w:val="00ED3784"/>
    <w:rsid w:val="00ED6FFE"/>
    <w:rsid w:val="00ED7B66"/>
    <w:rsid w:val="00EE116A"/>
    <w:rsid w:val="00F01D6C"/>
    <w:rsid w:val="00F12C2D"/>
    <w:rsid w:val="00F136B2"/>
    <w:rsid w:val="00F149BE"/>
    <w:rsid w:val="00F20E69"/>
    <w:rsid w:val="00F25E46"/>
    <w:rsid w:val="00F65565"/>
    <w:rsid w:val="00F66A0A"/>
    <w:rsid w:val="00F679D7"/>
    <w:rsid w:val="00F73150"/>
    <w:rsid w:val="00F95F03"/>
    <w:rsid w:val="00FA465C"/>
    <w:rsid w:val="00FA53CA"/>
    <w:rsid w:val="00FC55C1"/>
    <w:rsid w:val="00FE6F83"/>
    <w:rsid w:val="00FF4CAF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2D75"/>
  <w15:docId w15:val="{695137E5-EEFD-4253-816E-D13179CB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64E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4E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F5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5F5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87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0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834291961590547E-2"/>
          <c:y val="6.389888763904511E-2"/>
          <c:w val="0.91810493060496079"/>
          <c:h val="0.76096394200724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средства</c:v>
                </c:pt>
              </c:strCache>
            </c:strRef>
          </c:tx>
          <c:spPr>
            <a:solidFill>
              <a:schemeClr val="accent1"/>
            </a:solidFill>
            <a:ln w="9525" cap="flat" cmpd="sng" algn="ctr">
              <a:solidFill>
                <a:schemeClr val="lt1">
                  <a:shade val="95000"/>
                  <a:satMod val="105000"/>
                </a:schemeClr>
              </a:solidFill>
              <a:prstDash val="solid"/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январь-декабрь 2019</c:v>
                </c:pt>
                <c:pt idx="1">
                  <c:v>январь-декабрь 2020</c:v>
                </c:pt>
                <c:pt idx="2">
                  <c:v>январь декабрь 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201.8</c:v>
                </c:pt>
                <c:pt idx="1">
                  <c:v>215.05</c:v>
                </c:pt>
                <c:pt idx="2">
                  <c:v>181.93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E3-47C3-9E12-AD9BDFFC6D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привлеченные средства</c:v>
                </c:pt>
              </c:strCache>
            </c:strRef>
          </c:tx>
          <c:spPr>
            <a:solidFill>
              <a:schemeClr val="accent3"/>
            </a:solidFill>
            <a:ln w="9525" cap="flat" cmpd="sng" algn="ctr">
              <a:solidFill>
                <a:schemeClr val="lt1">
                  <a:shade val="95000"/>
                  <a:satMod val="105000"/>
                </a:schemeClr>
              </a:solidFill>
              <a:prstDash val="solid"/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AE3-47C3-9E12-AD9BDFFC6DE8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4AE3-47C3-9E12-AD9BDFFC6DE8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179,55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E3-47C3-9E12-AD9BDFFC6D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январь-декабрь 2019</c:v>
                </c:pt>
                <c:pt idx="1">
                  <c:v>январь-декабрь 2020</c:v>
                </c:pt>
                <c:pt idx="2">
                  <c:v>январь декабрь 2021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162.1</c:v>
                </c:pt>
                <c:pt idx="1">
                  <c:v>179.84</c:v>
                </c:pt>
                <c:pt idx="2">
                  <c:v>184.5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E3-47C3-9E12-AD9BDFFC6D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5"/>
        <c:overlap val="-2"/>
        <c:axId val="131284992"/>
        <c:axId val="131286528"/>
      </c:barChart>
      <c:catAx>
        <c:axId val="131284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86528"/>
        <c:crosses val="autoZero"/>
        <c:auto val="1"/>
        <c:lblAlgn val="ctr"/>
        <c:lblOffset val="100"/>
        <c:noMultiLvlLbl val="0"/>
      </c:catAx>
      <c:valAx>
        <c:axId val="131286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8499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 b="1" i="1">
                <a:latin typeface="Times New Roman" pitchFamily="18" charset="0"/>
                <a:cs typeface="Times New Roman" pitchFamily="18" charset="0"/>
              </a:rPr>
              <a:t>Распределение инвестиций в основной капитал крупных и средних предприятий по направлениям основных фондов </a:t>
            </a:r>
          </a:p>
          <a:p>
            <a:pPr>
              <a:defRPr sz="11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300" b="1" i="1">
                <a:latin typeface="Times New Roman" pitchFamily="18" charset="0"/>
                <a:cs typeface="Times New Roman" pitchFamily="18" charset="0"/>
              </a:rPr>
              <a:t>за январь-декабрь 2021 года, млн. руб.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033658039234994E-2"/>
          <c:y val="0.3064298212723417"/>
          <c:w val="0.56174022708939952"/>
          <c:h val="0.600771466066742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инвестиций в основной капитал крупных и средних предприятий по направлениям основных фондов за январь-декабрь 2017 года</c:v>
                </c:pt>
              </c:strCache>
            </c:strRef>
          </c:tx>
          <c:dPt>
            <c:idx val="0"/>
            <c:bubble3D val="0"/>
            <c:explosion val="7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0-6CBC-481B-8690-91426EAF117F}"/>
              </c:ext>
            </c:extLst>
          </c:dPt>
          <c:dPt>
            <c:idx val="1"/>
            <c:bubble3D val="0"/>
            <c:explosion val="12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CBC-481B-8690-91426EAF117F}"/>
              </c:ext>
            </c:extLst>
          </c:dPt>
          <c:dPt>
            <c:idx val="2"/>
            <c:bubble3D val="0"/>
            <c:explosion val="6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6CBC-481B-8690-91426EAF117F}"/>
              </c:ext>
            </c:extLst>
          </c:dPt>
          <c:dPt>
            <c:idx val="3"/>
            <c:bubble3D val="0"/>
            <c:explosion val="9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CBC-481B-8690-91426EAF117F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3295-4117-8519-0BB650347CFA}"/>
              </c:ext>
            </c:extLst>
          </c:dPt>
          <c:dLbls>
            <c:dLbl>
              <c:idx val="0"/>
              <c:layout>
                <c:manualLayout>
                  <c:x val="-0.26191326708186441"/>
                  <c:y val="-1.3764880417345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168,2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9593564844956"/>
                      <c:h val="8.32876712328767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CBC-481B-8690-91426EAF117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112,59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BC-481B-8690-91426EAF117F}"/>
                </c:ext>
              </c:extLst>
            </c:dLbl>
            <c:dLbl>
              <c:idx val="2"/>
              <c:layout>
                <c:manualLayout>
                  <c:x val="9.729859430597694E-2"/>
                  <c:y val="1.11211304066443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31,41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BC-481B-8690-91426EAF117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BC-481B-8690-91426EAF11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rgbClr val="FFFF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машины, оборудование</c:v>
                </c:pt>
                <c:pt idx="1">
                  <c:v>здания (кроме жилых) и сооружения</c:v>
                </c:pt>
                <c:pt idx="2">
                  <c:v>транспортные средства</c:v>
                </c:pt>
                <c:pt idx="3">
                  <c:v>прочие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175.11</c:v>
                </c:pt>
                <c:pt idx="1">
                  <c:v>118.99</c:v>
                </c:pt>
                <c:pt idx="2">
                  <c:v>39.549999999999997</c:v>
                </c:pt>
                <c:pt idx="3">
                  <c:v>59.72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BC-481B-8690-91426EAF11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  <a:effectLst/>
      </c:spPr>
    </c:plotArea>
    <c:legend>
      <c:legendPos val="r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10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>
  <cs:dataPoint3D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1">
      <a:schemeClr val="dk1"/>
    </cs:effectRef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1">
      <a:schemeClr val="dk1"/>
    </cs:effectRef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root</cp:lastModifiedBy>
  <cp:revision>2</cp:revision>
  <cp:lastPrinted>2017-12-05T07:25:00Z</cp:lastPrinted>
  <dcterms:created xsi:type="dcterms:W3CDTF">2022-03-17T10:30:00Z</dcterms:created>
  <dcterms:modified xsi:type="dcterms:W3CDTF">2022-03-17T10:30:00Z</dcterms:modified>
</cp:coreProperties>
</file>