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Default="003D33E6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КИРОВСКИЙ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3D33E6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</w:t>
      </w:r>
      <w:r w:rsidR="003F019C">
        <w:rPr>
          <w:b w:val="0"/>
          <w:sz w:val="24"/>
          <w:szCs w:val="24"/>
        </w:rPr>
        <w:t>.</w:t>
      </w:r>
      <w:r w:rsidR="00BA04F3">
        <w:rPr>
          <w:b w:val="0"/>
          <w:sz w:val="24"/>
          <w:szCs w:val="24"/>
        </w:rPr>
        <w:t xml:space="preserve"> 2021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</w:t>
      </w:r>
      <w:r w:rsidR="00BA04F3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2</w:t>
      </w:r>
      <w:r w:rsidR="009F7D4E">
        <w:rPr>
          <w:b w:val="0"/>
          <w:sz w:val="24"/>
          <w:szCs w:val="24"/>
        </w:rPr>
        <w:t>5</w:t>
      </w:r>
    </w:p>
    <w:p w:rsidR="00BA04F3" w:rsidRPr="003D33E6" w:rsidRDefault="003D33E6" w:rsidP="00BA04F3">
      <w:pPr>
        <w:pStyle w:val="ConsTitle"/>
        <w:widowControl/>
        <w:jc w:val="center"/>
      </w:pPr>
      <w:r w:rsidRPr="003D33E6">
        <w:t>п</w:t>
      </w:r>
      <w:r w:rsidR="00BA04F3" w:rsidRPr="003D33E6">
        <w:t xml:space="preserve">. </w:t>
      </w:r>
      <w:r w:rsidRPr="003D33E6">
        <w:t>Кировский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="003D33E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33E6" w:rsidRPr="003D33E6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C160F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2C160F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proofErr w:type="gramStart"/>
      <w:r w:rsidR="000058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 xml:space="preserve">2003№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</w:t>
      </w:r>
      <w:r w:rsidR="00B85A47" w:rsidRPr="00B85A47">
        <w:rPr>
          <w:rFonts w:ascii="Times New Roman" w:hAnsi="Times New Roman" w:cs="Times New Roman"/>
          <w:sz w:val="28"/>
          <w:szCs w:val="28"/>
        </w:rPr>
        <w:t>о бюджетном устройстве, бюджетном процессе и финансовом контроле</w:t>
      </w:r>
      <w:r w:rsidR="00B85A47" w:rsidRPr="008A19B1">
        <w:rPr>
          <w:sz w:val="24"/>
          <w:szCs w:val="24"/>
        </w:rPr>
        <w:t xml:space="preserve">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в муниципальном образовании </w:t>
      </w:r>
      <w:r w:rsidR="00A875A1" w:rsidRPr="00A87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Кировский 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B85A47">
        <w:rPr>
          <w:rFonts w:ascii="Times New Roman" w:hAnsi="Times New Roman" w:cs="Times New Roman"/>
          <w:sz w:val="28"/>
          <w:szCs w:val="28"/>
        </w:rPr>
        <w:t>25.12.2020 № 18</w:t>
      </w:r>
      <w:r w:rsidRPr="00D332A6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A875A1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r w:rsidR="00A875A1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A875A1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r w:rsidR="00A875A1">
        <w:rPr>
          <w:sz w:val="28"/>
          <w:szCs w:val="28"/>
        </w:rPr>
        <w:t>Т.Н. Климова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</w:t>
      </w:r>
    </w:p>
    <w:p w:rsidR="00BF634F" w:rsidRP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85A47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>от</w:t>
      </w:r>
      <w:r w:rsidR="00B85A47">
        <w:rPr>
          <w:rFonts w:ascii="Times New Roman" w:hAnsi="Times New Roman" w:cs="Times New Roman"/>
          <w:sz w:val="28"/>
          <w:szCs w:val="28"/>
        </w:rPr>
        <w:t xml:space="preserve"> 22.12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85A47">
        <w:rPr>
          <w:rFonts w:ascii="Times New Roman" w:hAnsi="Times New Roman" w:cs="Times New Roman"/>
          <w:sz w:val="28"/>
          <w:szCs w:val="28"/>
        </w:rPr>
        <w:t>2</w:t>
      </w:r>
      <w:r w:rsidR="001165A7">
        <w:rPr>
          <w:rFonts w:ascii="Times New Roman" w:hAnsi="Times New Roman" w:cs="Times New Roman"/>
          <w:sz w:val="28"/>
          <w:szCs w:val="28"/>
        </w:rPr>
        <w:t>5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r w:rsidR="00B85A47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B85A47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proofErr w:type="gramStart"/>
      <w:r w:rsidRPr="00B91781">
        <w:rPr>
          <w:color w:val="222222"/>
          <w:sz w:val="28"/>
          <w:szCs w:val="28"/>
        </w:rPr>
        <w:t>2.1.</w:t>
      </w:r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B85A47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B85A47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B85A47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B85A47">
        <w:rPr>
          <w:color w:val="222222"/>
          <w:sz w:val="28"/>
          <w:szCs w:val="28"/>
        </w:rPr>
        <w:t xml:space="preserve"> Кировского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>полномочий по решению вопросов местного значени</w:t>
      </w:r>
      <w:r w:rsidR="00B85A47">
        <w:rPr>
          <w:color w:val="222222"/>
          <w:sz w:val="28"/>
          <w:szCs w:val="28"/>
        </w:rPr>
        <w:t xml:space="preserve">я Кировского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B85A47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7D5579">
        <w:rPr>
          <w:color w:val="222222"/>
          <w:sz w:val="28"/>
          <w:szCs w:val="28"/>
        </w:rPr>
        <w:t>06.10.2003</w:t>
      </w:r>
      <w:r w:rsidRPr="00B91781">
        <w:rPr>
          <w:color w:val="222222"/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r w:rsidRPr="00B91781">
        <w:rPr>
          <w:color w:val="222222"/>
          <w:sz w:val="28"/>
          <w:szCs w:val="28"/>
        </w:rPr>
        <w:t>,</w:t>
      </w:r>
      <w:r w:rsidR="00B85A47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в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  <w:proofErr w:type="gramEnd"/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r w:rsidR="00B85A47" w:rsidRPr="00B85A47">
        <w:rPr>
          <w:sz w:val="28"/>
          <w:szCs w:val="28"/>
        </w:rPr>
        <w:t>Кировского</w:t>
      </w:r>
      <w:r w:rsidR="00B85A47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B85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</w:t>
      </w:r>
      <w:r w:rsidRPr="009E1264">
        <w:rPr>
          <w:sz w:val="28"/>
          <w:szCs w:val="28"/>
        </w:rPr>
        <w:lastRenderedPageBreak/>
        <w:t xml:space="preserve">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Pr="00BA04F3" w:rsidRDefault="00AF766A" w:rsidP="00AF766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3FA4">
        <w:rPr>
          <w:sz w:val="28"/>
          <w:szCs w:val="28"/>
        </w:rPr>
        <w:t>6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</w:t>
      </w:r>
      <w:r w:rsidRPr="009E1264">
        <w:rPr>
          <w:sz w:val="28"/>
          <w:szCs w:val="28"/>
        </w:rPr>
        <w:lastRenderedPageBreak/>
        <w:t xml:space="preserve">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29"/>
    <w:rsid w:val="000012EA"/>
    <w:rsid w:val="0000150B"/>
    <w:rsid w:val="00005811"/>
    <w:rsid w:val="0003753C"/>
    <w:rsid w:val="000A1924"/>
    <w:rsid w:val="000C1930"/>
    <w:rsid w:val="001165A7"/>
    <w:rsid w:val="001266A7"/>
    <w:rsid w:val="0014541C"/>
    <w:rsid w:val="0015327F"/>
    <w:rsid w:val="001F63BA"/>
    <w:rsid w:val="00203FA4"/>
    <w:rsid w:val="002179B2"/>
    <w:rsid w:val="00254312"/>
    <w:rsid w:val="002C160F"/>
    <w:rsid w:val="002D2650"/>
    <w:rsid w:val="003516C6"/>
    <w:rsid w:val="00355F3A"/>
    <w:rsid w:val="003A01E6"/>
    <w:rsid w:val="003A7943"/>
    <w:rsid w:val="003C1251"/>
    <w:rsid w:val="003D33E6"/>
    <w:rsid w:val="003F019C"/>
    <w:rsid w:val="0043778F"/>
    <w:rsid w:val="00490809"/>
    <w:rsid w:val="00492722"/>
    <w:rsid w:val="004A603E"/>
    <w:rsid w:val="004B55F1"/>
    <w:rsid w:val="004E11FB"/>
    <w:rsid w:val="00577479"/>
    <w:rsid w:val="0059583F"/>
    <w:rsid w:val="0059660B"/>
    <w:rsid w:val="005A2791"/>
    <w:rsid w:val="005B3AC9"/>
    <w:rsid w:val="005D4958"/>
    <w:rsid w:val="005F750B"/>
    <w:rsid w:val="00617337"/>
    <w:rsid w:val="00641742"/>
    <w:rsid w:val="00667206"/>
    <w:rsid w:val="00676FD1"/>
    <w:rsid w:val="006C42D7"/>
    <w:rsid w:val="006D08D5"/>
    <w:rsid w:val="006F5157"/>
    <w:rsid w:val="006F64C5"/>
    <w:rsid w:val="0074754B"/>
    <w:rsid w:val="00781C85"/>
    <w:rsid w:val="007B1301"/>
    <w:rsid w:val="007C45C2"/>
    <w:rsid w:val="007D5579"/>
    <w:rsid w:val="007D77A0"/>
    <w:rsid w:val="007F72A7"/>
    <w:rsid w:val="00803232"/>
    <w:rsid w:val="008502F2"/>
    <w:rsid w:val="00866353"/>
    <w:rsid w:val="008B5AF4"/>
    <w:rsid w:val="008C56F5"/>
    <w:rsid w:val="008E44BC"/>
    <w:rsid w:val="00975DA9"/>
    <w:rsid w:val="009C1C24"/>
    <w:rsid w:val="009F7D4E"/>
    <w:rsid w:val="00A1727B"/>
    <w:rsid w:val="00A47BAD"/>
    <w:rsid w:val="00A875A1"/>
    <w:rsid w:val="00AE0C61"/>
    <w:rsid w:val="00AF766A"/>
    <w:rsid w:val="00B27B41"/>
    <w:rsid w:val="00B57161"/>
    <w:rsid w:val="00B60A92"/>
    <w:rsid w:val="00B80C9E"/>
    <w:rsid w:val="00B85A47"/>
    <w:rsid w:val="00BA04F3"/>
    <w:rsid w:val="00BE47F4"/>
    <w:rsid w:val="00BE7A7C"/>
    <w:rsid w:val="00BF634F"/>
    <w:rsid w:val="00C51829"/>
    <w:rsid w:val="00C529CA"/>
    <w:rsid w:val="00C546AE"/>
    <w:rsid w:val="00C85495"/>
    <w:rsid w:val="00D05777"/>
    <w:rsid w:val="00D23953"/>
    <w:rsid w:val="00D332A6"/>
    <w:rsid w:val="00D425DF"/>
    <w:rsid w:val="00D7542D"/>
    <w:rsid w:val="00DF6633"/>
    <w:rsid w:val="00ED5D27"/>
    <w:rsid w:val="00EE0D2B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D5A5-11B5-499F-92CD-5D646FBC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Admin</cp:lastModifiedBy>
  <cp:revision>83</cp:revision>
  <cp:lastPrinted>2021-01-21T04:47:00Z</cp:lastPrinted>
  <dcterms:created xsi:type="dcterms:W3CDTF">2021-01-20T07:09:00Z</dcterms:created>
  <dcterms:modified xsi:type="dcterms:W3CDTF">2021-12-22T11:10:00Z</dcterms:modified>
</cp:coreProperties>
</file>