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D711C3" w:rsidP="00CC22F1">
      <w:pPr>
        <w:jc w:val="center"/>
        <w:rPr>
          <w:b/>
          <w:lang w:val="ru-RU"/>
        </w:rPr>
      </w:pPr>
      <w:r>
        <w:rPr>
          <w:b/>
          <w:lang w:val="ru-RU"/>
        </w:rPr>
        <w:t>БЕЛОЯРОВ</w:t>
      </w:r>
      <w:r w:rsidR="00CC22F1" w:rsidRPr="00CC22F1">
        <w:rPr>
          <w:b/>
          <w:lang w:val="ru-RU"/>
        </w:rPr>
        <w:t xml:space="preserve">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D1702F" w:rsidRPr="00FD296F" w:rsidRDefault="00D1702F" w:rsidP="00CC22F1">
      <w:pPr>
        <w:pStyle w:val="ConsTitle"/>
        <w:widowControl/>
        <w:ind w:right="0"/>
        <w:jc w:val="center"/>
        <w:rPr>
          <w:sz w:val="24"/>
          <w:szCs w:val="24"/>
        </w:rPr>
      </w:pPr>
    </w:p>
    <w:p w:rsidR="00CC22F1" w:rsidRPr="00CC22F1" w:rsidRDefault="00D1702F"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 </w:t>
      </w:r>
      <w:r>
        <w:rPr>
          <w:b w:val="0"/>
          <w:sz w:val="24"/>
          <w:szCs w:val="24"/>
        </w:rPr>
        <w:t>5</w:t>
      </w:r>
    </w:p>
    <w:p w:rsidR="00CC22F1" w:rsidRPr="00CC22F1" w:rsidRDefault="00D711C3" w:rsidP="00CC22F1">
      <w:pPr>
        <w:pStyle w:val="ConsTitle"/>
        <w:widowControl/>
        <w:ind w:right="0"/>
        <w:jc w:val="center"/>
        <w:rPr>
          <w:b w:val="0"/>
          <w:sz w:val="18"/>
          <w:szCs w:val="18"/>
        </w:rPr>
      </w:pPr>
      <w:r>
        <w:rPr>
          <w:b w:val="0"/>
          <w:sz w:val="18"/>
          <w:szCs w:val="18"/>
        </w:rPr>
        <w:t>с</w:t>
      </w:r>
      <w:proofErr w:type="gramStart"/>
      <w:r>
        <w:rPr>
          <w:b w:val="0"/>
          <w:sz w:val="18"/>
          <w:szCs w:val="18"/>
        </w:rPr>
        <w:t>.</w:t>
      </w:r>
      <w:r w:rsidR="00CC22F1" w:rsidRPr="00CC22F1">
        <w:rPr>
          <w:b w:val="0"/>
          <w:sz w:val="18"/>
          <w:szCs w:val="18"/>
        </w:rPr>
        <w:t>.</w:t>
      </w:r>
      <w:proofErr w:type="gramEnd"/>
      <w:r>
        <w:rPr>
          <w:b w:val="0"/>
          <w:sz w:val="18"/>
          <w:szCs w:val="18"/>
        </w:rPr>
        <w:t>Белояровк</w:t>
      </w:r>
      <w:r w:rsidR="00CC22F1" w:rsidRPr="00CC22F1">
        <w:rPr>
          <w:b w:val="0"/>
          <w:sz w:val="18"/>
          <w:szCs w:val="18"/>
        </w:rPr>
        <w:t>а</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proofErr w:type="spellStart"/>
      <w:r w:rsidR="008D05DD">
        <w:rPr>
          <w:sz w:val="28"/>
          <w:szCs w:val="28"/>
          <w:lang w:val="ru-RU"/>
        </w:rPr>
        <w:t>Белояров</w:t>
      </w:r>
      <w:r w:rsidRPr="00CC22F1">
        <w:rPr>
          <w:sz w:val="28"/>
          <w:szCs w:val="28"/>
          <w:lang w:val="ru-RU"/>
        </w:rPr>
        <w:t>ский</w:t>
      </w:r>
      <w:proofErr w:type="spellEnd"/>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w:t>
      </w:r>
      <w:r w:rsidR="00421902">
        <w:rPr>
          <w:sz w:val="28"/>
          <w:szCs w:val="28"/>
          <w:lang w:val="ru-RU"/>
        </w:rPr>
        <w:t>27</w:t>
      </w:r>
      <w:r w:rsidRPr="00CC22F1">
        <w:rPr>
          <w:sz w:val="28"/>
          <w:szCs w:val="28"/>
          <w:lang w:val="ru-RU"/>
        </w:rPr>
        <w:t>.</w:t>
      </w:r>
      <w:r w:rsidR="00421902">
        <w:rPr>
          <w:sz w:val="28"/>
          <w:szCs w:val="28"/>
          <w:lang w:val="ru-RU"/>
        </w:rPr>
        <w:t>09</w:t>
      </w:r>
      <w:r w:rsidRPr="00CC22F1">
        <w:rPr>
          <w:sz w:val="28"/>
          <w:szCs w:val="28"/>
          <w:lang w:val="ru-RU"/>
        </w:rPr>
        <w:t>.2018 № 27</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proofErr w:type="spellStart"/>
      <w:r w:rsidR="00421902">
        <w:rPr>
          <w:sz w:val="28"/>
          <w:szCs w:val="28"/>
          <w:lang w:val="ru-RU"/>
        </w:rPr>
        <w:t>Белояров</w:t>
      </w:r>
      <w:r w:rsidRPr="00CC22F1">
        <w:rPr>
          <w:sz w:val="28"/>
          <w:szCs w:val="28"/>
          <w:lang w:val="ru-RU"/>
        </w:rPr>
        <w:t>ский</w:t>
      </w:r>
      <w:proofErr w:type="spellEnd"/>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proofErr w:type="spellStart"/>
      <w:r w:rsidR="00421902">
        <w:rPr>
          <w:sz w:val="28"/>
          <w:szCs w:val="28"/>
          <w:lang w:val="ru-RU"/>
        </w:rPr>
        <w:t>Белояров</w:t>
      </w:r>
      <w:r w:rsidRPr="00CC22F1">
        <w:rPr>
          <w:sz w:val="28"/>
          <w:szCs w:val="28"/>
          <w:lang w:val="ru-RU"/>
        </w:rPr>
        <w:t>ский</w:t>
      </w:r>
      <w:proofErr w:type="spellEnd"/>
      <w:r w:rsidRPr="00CC22F1">
        <w:rPr>
          <w:sz w:val="28"/>
          <w:szCs w:val="28"/>
          <w:lang w:val="ru-RU"/>
        </w:rPr>
        <w:t xml:space="preserve"> сельсовет Топчихинского района Алтайского края, утвержденные решением сельского Совета депутатов от </w:t>
      </w:r>
      <w:r w:rsidR="00421902">
        <w:rPr>
          <w:sz w:val="28"/>
          <w:szCs w:val="28"/>
          <w:lang w:val="ru-RU"/>
        </w:rPr>
        <w:t>27.09</w:t>
      </w:r>
      <w:r w:rsidRPr="00CC22F1">
        <w:rPr>
          <w:sz w:val="28"/>
          <w:szCs w:val="28"/>
          <w:lang w:val="ru-RU"/>
        </w:rPr>
        <w:t>.2018 № 27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proofErr w:type="gramStart"/>
      <w:r w:rsidRPr="00EF4265">
        <w:rPr>
          <w:rStyle w:val="a4"/>
          <w:b w:val="0"/>
          <w:bCs/>
          <w:color w:val="auto"/>
          <w:sz w:val="28"/>
          <w:szCs w:val="28"/>
          <w:lang w:val="ru-RU"/>
        </w:rPr>
        <w:t>архитектурное решение</w:t>
      </w:r>
      <w:proofErr w:type="gramEnd"/>
      <w:r w:rsidRPr="00EF4265">
        <w:rPr>
          <w:rStyle w:val="a4"/>
          <w:b w:val="0"/>
          <w:bCs/>
          <w:color w:val="auto"/>
          <w:sz w:val="28"/>
          <w:szCs w:val="28"/>
          <w:lang w:val="ru-RU"/>
        </w:rPr>
        <w:t xml:space="preserve">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w:t>
      </w:r>
      <w:proofErr w:type="gramEnd"/>
      <w:r w:rsidRPr="00CC22F1">
        <w:rPr>
          <w:sz w:val="28"/>
          <w:szCs w:val="28"/>
          <w:lang w:val="ru-RU"/>
        </w:rPr>
        <w:t xml:space="preserve">, </w:t>
      </w:r>
      <w:proofErr w:type="gramStart"/>
      <w:r w:rsidRPr="00CC22F1">
        <w:rPr>
          <w:sz w:val="28"/>
          <w:szCs w:val="28"/>
          <w:lang w:val="ru-RU"/>
        </w:rPr>
        <w:t>профиле</w:t>
      </w:r>
      <w:proofErr w:type="gramEnd"/>
      <w:r w:rsidRPr="00CC22F1">
        <w:rPr>
          <w:sz w:val="28"/>
          <w:szCs w:val="28"/>
          <w:lang w:val="ru-RU"/>
        </w:rPr>
        <w:t xml:space="preserve">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w:t>
      </w:r>
      <w:proofErr w:type="gramEnd"/>
      <w:r w:rsidRPr="00CC22F1">
        <w:rPr>
          <w:sz w:val="28"/>
          <w:szCs w:val="28"/>
          <w:lang w:val="ru-RU"/>
        </w:rPr>
        <w:t xml:space="preserve">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такой земельный участок образован, и </w:t>
      </w:r>
      <w:proofErr w:type="gramStart"/>
      <w:r w:rsidRPr="00CC22F1">
        <w:rPr>
          <w:sz w:val="28"/>
          <w:szCs w:val="28"/>
          <w:lang w:val="ru-RU" w:eastAsia="ru-RU"/>
        </w:rPr>
        <w:t>границы</w:t>
      </w:r>
      <w:proofErr w:type="gramEnd"/>
      <w:r w:rsidRPr="00CC22F1">
        <w:rPr>
          <w:sz w:val="28"/>
          <w:szCs w:val="28"/>
          <w:lang w:val="ru-RU"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proofErr w:type="gramStart"/>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proofErr w:type="gramStart"/>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 xml:space="preserve">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EF4265">
        <w:rPr>
          <w:rFonts w:eastAsiaTheme="minorHAnsi"/>
          <w:sz w:val="28"/>
          <w:szCs w:val="28"/>
          <w:lang w:val="ru-RU"/>
        </w:rPr>
        <w:t>саморегулируемой</w:t>
      </w:r>
      <w:proofErr w:type="spellEnd"/>
      <w:r w:rsidR="00EF4265">
        <w:rPr>
          <w:rFonts w:eastAsiaTheme="minorHAnsi"/>
          <w:sz w:val="28"/>
          <w:szCs w:val="28"/>
          <w:lang w:val="ru-RU"/>
        </w:rPr>
        <w:t xml:space="preserve"> организации</w:t>
      </w:r>
      <w:r w:rsidRPr="00CC22F1">
        <w:rPr>
          <w:sz w:val="28"/>
          <w:szCs w:val="28"/>
          <w:lang w:val="ru-RU"/>
        </w:rPr>
        <w:t>;</w:t>
      </w:r>
      <w:proofErr w:type="gramEnd"/>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proofErr w:type="gramStart"/>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roofErr w:type="gramEnd"/>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Start"/>
      <w:r w:rsidRPr="00CC22F1">
        <w:rPr>
          <w:rFonts w:eastAsia="Calibri"/>
          <w:sz w:val="28"/>
          <w:szCs w:val="28"/>
          <w:lang w:val="ru-RU"/>
        </w:rPr>
        <w:t>.</w:t>
      </w:r>
      <w:r w:rsidRPr="00CC22F1">
        <w:rPr>
          <w:sz w:val="28"/>
          <w:szCs w:val="28"/>
          <w:lang w:val="ru-RU"/>
        </w:rPr>
        <w:t>»;</w:t>
      </w:r>
      <w:proofErr w:type="gramEnd"/>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сельского Совета депутатов от </w:t>
      </w:r>
      <w:r w:rsidR="00FB2DCD">
        <w:rPr>
          <w:rFonts w:ascii="Times New Roman" w:hAnsi="Times New Roman" w:cs="Times New Roman"/>
          <w:b w:val="0"/>
          <w:sz w:val="28"/>
          <w:szCs w:val="28"/>
        </w:rPr>
        <w:t>2</w:t>
      </w:r>
      <w:r w:rsidRPr="00CC22F1">
        <w:rPr>
          <w:rFonts w:ascii="Times New Roman" w:hAnsi="Times New Roman" w:cs="Times New Roman"/>
          <w:b w:val="0"/>
          <w:sz w:val="28"/>
          <w:szCs w:val="28"/>
        </w:rPr>
        <w:t>5.</w:t>
      </w:r>
      <w:r w:rsidR="00FB2DCD">
        <w:rPr>
          <w:rFonts w:ascii="Times New Roman" w:hAnsi="Times New Roman" w:cs="Times New Roman"/>
          <w:b w:val="0"/>
          <w:sz w:val="28"/>
          <w:szCs w:val="28"/>
        </w:rPr>
        <w:t>09</w:t>
      </w:r>
      <w:r w:rsidRPr="00CC22F1">
        <w:rPr>
          <w:rFonts w:ascii="Times New Roman" w:hAnsi="Times New Roman" w:cs="Times New Roman"/>
          <w:b w:val="0"/>
          <w:sz w:val="28"/>
          <w:szCs w:val="28"/>
        </w:rPr>
        <w:t xml:space="preserve">.2019 № </w:t>
      </w:r>
      <w:r w:rsidR="00FB2DCD">
        <w:rPr>
          <w:rFonts w:ascii="Times New Roman" w:hAnsi="Times New Roman" w:cs="Times New Roman"/>
          <w:b w:val="0"/>
          <w:sz w:val="28"/>
          <w:szCs w:val="28"/>
        </w:rPr>
        <w:t>25</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proofErr w:type="spellStart"/>
      <w:r w:rsidR="00FB2DCD">
        <w:rPr>
          <w:rFonts w:ascii="Times New Roman" w:hAnsi="Times New Roman" w:cs="Times New Roman"/>
          <w:b w:val="0"/>
          <w:sz w:val="28"/>
          <w:szCs w:val="28"/>
        </w:rPr>
        <w:t>Белояров</w:t>
      </w:r>
      <w:r w:rsidRPr="00CC22F1">
        <w:rPr>
          <w:rFonts w:ascii="Times New Roman" w:hAnsi="Times New Roman" w:cs="Times New Roman"/>
          <w:b w:val="0"/>
          <w:sz w:val="28"/>
          <w:szCs w:val="28"/>
        </w:rPr>
        <w:t>ский</w:t>
      </w:r>
      <w:proofErr w:type="spellEnd"/>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сельского Совета депутатов от </w:t>
      </w:r>
      <w:r w:rsidR="00FB2DCD">
        <w:rPr>
          <w:rFonts w:ascii="Times New Roman" w:hAnsi="Times New Roman" w:cs="Times New Roman"/>
          <w:b w:val="0"/>
          <w:sz w:val="28"/>
          <w:szCs w:val="28"/>
        </w:rPr>
        <w:t>27</w:t>
      </w:r>
      <w:r w:rsidRPr="00CC22F1">
        <w:rPr>
          <w:rFonts w:ascii="Times New Roman" w:hAnsi="Times New Roman" w:cs="Times New Roman"/>
          <w:b w:val="0"/>
          <w:sz w:val="28"/>
          <w:szCs w:val="28"/>
        </w:rPr>
        <w:t>.</w:t>
      </w:r>
      <w:r w:rsidR="00FB2DCD">
        <w:rPr>
          <w:rFonts w:ascii="Times New Roman" w:hAnsi="Times New Roman" w:cs="Times New Roman"/>
          <w:b w:val="0"/>
          <w:sz w:val="28"/>
          <w:szCs w:val="28"/>
        </w:rPr>
        <w:t>09</w:t>
      </w:r>
      <w:r w:rsidRPr="00CC22F1">
        <w:rPr>
          <w:rFonts w:ascii="Times New Roman" w:hAnsi="Times New Roman" w:cs="Times New Roman"/>
          <w:b w:val="0"/>
          <w:sz w:val="28"/>
          <w:szCs w:val="28"/>
        </w:rPr>
        <w:t>.2018 № 27».</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xml:space="preserve">. Настоящее решение </w:t>
      </w:r>
      <w:proofErr w:type="gramStart"/>
      <w:r w:rsidR="00CC22F1" w:rsidRPr="00CC22F1">
        <w:rPr>
          <w:rFonts w:ascii="Times New Roman" w:hAnsi="Times New Roman" w:cs="Times New Roman"/>
          <w:b w:val="0"/>
          <w:sz w:val="28"/>
          <w:szCs w:val="28"/>
        </w:rPr>
        <w:t>обнародовать в установленном порядке и разместить</w:t>
      </w:r>
      <w:proofErr w:type="gramEnd"/>
      <w:r w:rsidR="00CC22F1" w:rsidRPr="00CC22F1">
        <w:rPr>
          <w:rFonts w:ascii="Times New Roman" w:hAnsi="Times New Roman" w:cs="Times New Roman"/>
          <w:b w:val="0"/>
          <w:sz w:val="28"/>
          <w:szCs w:val="28"/>
        </w:rPr>
        <w:t xml:space="preserve">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FB2DCD">
        <w:rPr>
          <w:rFonts w:ascii="Times New Roman" w:hAnsi="Times New Roman" w:cs="Times New Roman"/>
          <w:b w:val="0"/>
          <w:sz w:val="28"/>
          <w:szCs w:val="28"/>
        </w:rPr>
        <w:t xml:space="preserve"> </w:t>
      </w:r>
      <w:r w:rsidR="008D05DD">
        <w:rPr>
          <w:rFonts w:ascii="Times New Roman" w:hAnsi="Times New Roman" w:cs="Times New Roman"/>
          <w:b w:val="0"/>
          <w:sz w:val="28"/>
          <w:szCs w:val="28"/>
        </w:rPr>
        <w:t xml:space="preserve">                                                               </w:t>
      </w:r>
      <w:r w:rsidR="00FB2DCD">
        <w:rPr>
          <w:rFonts w:ascii="Times New Roman" w:hAnsi="Times New Roman" w:cs="Times New Roman"/>
          <w:b w:val="0"/>
          <w:sz w:val="28"/>
          <w:szCs w:val="28"/>
        </w:rPr>
        <w:t xml:space="preserve">  </w:t>
      </w:r>
      <w:proofErr w:type="spellStart"/>
      <w:r w:rsidR="00FB2DCD">
        <w:rPr>
          <w:rFonts w:ascii="Times New Roman" w:hAnsi="Times New Roman" w:cs="Times New Roman"/>
          <w:b w:val="0"/>
          <w:sz w:val="28"/>
          <w:szCs w:val="28"/>
        </w:rPr>
        <w:t>С.С.Садова</w:t>
      </w:r>
      <w:proofErr w:type="spellEnd"/>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5738D"/>
    <w:rsid w:val="00127635"/>
    <w:rsid w:val="00157775"/>
    <w:rsid w:val="00421902"/>
    <w:rsid w:val="005B42E9"/>
    <w:rsid w:val="00870B27"/>
    <w:rsid w:val="008D05DD"/>
    <w:rsid w:val="00B42C3B"/>
    <w:rsid w:val="00C727A1"/>
    <w:rsid w:val="00CC22F1"/>
    <w:rsid w:val="00D1702F"/>
    <w:rsid w:val="00D711C3"/>
    <w:rsid w:val="00E2113A"/>
    <w:rsid w:val="00EF3D6A"/>
    <w:rsid w:val="00EF4265"/>
    <w:rsid w:val="00FB2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11</cp:revision>
  <cp:lastPrinted>2020-03-24T08:36:00Z</cp:lastPrinted>
  <dcterms:created xsi:type="dcterms:W3CDTF">2020-02-05T05:03:00Z</dcterms:created>
  <dcterms:modified xsi:type="dcterms:W3CDTF">2020-03-24T09:04:00Z</dcterms:modified>
</cp:coreProperties>
</file>