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8C21A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КИРОВСКОГО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434E68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01.11</w:t>
      </w:r>
      <w:r w:rsidR="00D83BB6">
        <w:rPr>
          <w:b w:val="0"/>
          <w:sz w:val="24"/>
          <w:szCs w:val="24"/>
        </w:rPr>
        <w:t>.2019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 № </w:t>
      </w:r>
      <w:r>
        <w:rPr>
          <w:b w:val="0"/>
          <w:sz w:val="24"/>
          <w:szCs w:val="24"/>
        </w:rPr>
        <w:t>45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8C21A8">
        <w:rPr>
          <w:sz w:val="18"/>
          <w:szCs w:val="18"/>
        </w:rPr>
        <w:t>п. Кировский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541A16" w:rsidP="00896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8C21A8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CD58DA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Pr="00F5626B">
              <w:rPr>
                <w:rFonts w:ascii="Times New Roman" w:hAnsi="Times New Roman"/>
                <w:sz w:val="28"/>
                <w:szCs w:val="28"/>
              </w:rPr>
              <w:t>-202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5</w:t>
            </w:r>
            <w:r w:rsidRPr="00F562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</w:t>
      </w:r>
      <w:proofErr w:type="gramEnd"/>
      <w:r>
        <w:rPr>
          <w:rFonts w:ascii="Times New Roman" w:hAnsi="Times New Roman"/>
          <w:sz w:val="28"/>
          <w:szCs w:val="28"/>
        </w:rPr>
        <w:t xml:space="preserve"> 17.11.2008 №110-ЗС «О развитии малого и среднего предпринимательства в Алтайском крае», Уставом муници</w:t>
      </w:r>
      <w:r w:rsidR="00BC0851">
        <w:rPr>
          <w:rFonts w:ascii="Times New Roman" w:hAnsi="Times New Roman"/>
          <w:sz w:val="28"/>
          <w:szCs w:val="28"/>
        </w:rPr>
        <w:t>п</w:t>
      </w:r>
      <w:r w:rsidR="008C21A8">
        <w:rPr>
          <w:rFonts w:ascii="Times New Roman" w:hAnsi="Times New Roman"/>
          <w:sz w:val="28"/>
          <w:szCs w:val="28"/>
        </w:rPr>
        <w:t>ального образования Кировский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</w:t>
      </w:r>
      <w:r w:rsidRPr="00CC1B75">
        <w:rPr>
          <w:rFonts w:ascii="Times New Roman" w:hAnsi="Times New Roman"/>
          <w:sz w:val="28"/>
          <w:szCs w:val="28"/>
        </w:rPr>
        <w:t xml:space="preserve">, </w:t>
      </w:r>
      <w:r w:rsidRPr="00CC1B75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0659E8">
        <w:rPr>
          <w:rFonts w:ascii="Times New Roman" w:hAnsi="Times New Roman"/>
          <w:b/>
          <w:sz w:val="28"/>
          <w:szCs w:val="28"/>
        </w:rPr>
        <w:t>:</w:t>
      </w:r>
    </w:p>
    <w:p w:rsidR="00541A16" w:rsidRPr="00FC6F8D" w:rsidRDefault="00541A16" w:rsidP="004E5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</w:t>
      </w:r>
      <w:r w:rsidR="00533A8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малого</w:t>
      </w:r>
      <w:r w:rsidR="00533A82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8C21A8">
        <w:rPr>
          <w:rFonts w:ascii="Times New Roman" w:hAnsi="Times New Roman"/>
          <w:sz w:val="28"/>
          <w:szCs w:val="28"/>
        </w:rPr>
        <w:t>ьства на территории Кировского</w:t>
      </w:r>
      <w:r w:rsidR="00BC0851">
        <w:rPr>
          <w:rFonts w:ascii="Times New Roman" w:hAnsi="Times New Roman"/>
          <w:sz w:val="28"/>
          <w:szCs w:val="28"/>
        </w:rPr>
        <w:t xml:space="preserve"> сельсовета» на 20</w:t>
      </w:r>
      <w:r w:rsidR="00CC1B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CC1B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533A82">
        <w:rPr>
          <w:rFonts w:ascii="Times New Roman" w:hAnsi="Times New Roman"/>
          <w:sz w:val="28"/>
          <w:szCs w:val="28"/>
        </w:rPr>
        <w:t>2</w:t>
      </w:r>
      <w:r w:rsidRPr="00FC6F8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533A82"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41A16" w:rsidRDefault="00541A16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>
        <w:rPr>
          <w:rFonts w:ascii="Times New Roman" w:hAnsi="Times New Roman"/>
          <w:sz w:val="28"/>
          <w:szCs w:val="28"/>
        </w:rPr>
        <w:t xml:space="preserve">                        </w:t>
      </w:r>
      <w:r w:rsidR="0039094E">
        <w:rPr>
          <w:rFonts w:ascii="Times New Roman" w:hAnsi="Times New Roman"/>
          <w:sz w:val="28"/>
          <w:szCs w:val="28"/>
        </w:rPr>
        <w:t xml:space="preserve">   </w:t>
      </w:r>
      <w:r w:rsidR="00BC0851">
        <w:rPr>
          <w:rFonts w:ascii="Times New Roman" w:hAnsi="Times New Roman"/>
          <w:sz w:val="28"/>
          <w:szCs w:val="28"/>
        </w:rPr>
        <w:t xml:space="preserve">     </w:t>
      </w:r>
      <w:r w:rsidR="008C21A8">
        <w:rPr>
          <w:rFonts w:ascii="Times New Roman" w:hAnsi="Times New Roman"/>
          <w:sz w:val="28"/>
          <w:szCs w:val="28"/>
        </w:rPr>
        <w:t>А.В. Попов</w:t>
      </w: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E59E6" w:rsidRDefault="004E59E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34E68" w:rsidRDefault="00434E68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8C21A8">
        <w:rPr>
          <w:rFonts w:ascii="Times New Roman" w:hAnsi="Times New Roman"/>
          <w:sz w:val="28"/>
          <w:szCs w:val="28"/>
        </w:rPr>
        <w:t>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434E68">
        <w:rPr>
          <w:rFonts w:ascii="Times New Roman" w:hAnsi="Times New Roman"/>
          <w:sz w:val="28"/>
          <w:szCs w:val="28"/>
        </w:rPr>
        <w:t>01.11.2019</w:t>
      </w:r>
      <w:r w:rsidRPr="00CC1B75">
        <w:rPr>
          <w:rFonts w:ascii="Times New Roman" w:hAnsi="Times New Roman"/>
          <w:sz w:val="28"/>
          <w:szCs w:val="28"/>
        </w:rPr>
        <w:t xml:space="preserve">  № </w:t>
      </w:r>
      <w:r w:rsidR="00434E68">
        <w:rPr>
          <w:rFonts w:ascii="Times New Roman" w:hAnsi="Times New Roman"/>
          <w:sz w:val="28"/>
          <w:szCs w:val="28"/>
        </w:rPr>
        <w:t>45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Pr="00CC1B75" w:rsidRDefault="008C21A8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Кировского</w:t>
      </w:r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083554">
        <w:rPr>
          <w:rFonts w:ascii="Times New Roman" w:hAnsi="Times New Roman"/>
          <w:sz w:val="28"/>
          <w:szCs w:val="28"/>
        </w:rPr>
        <w:t>на территории 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5307F7" w:rsidP="005307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программа)</w:t>
      </w: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й при Администрации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МСП) на территории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, формирования конкурентной среды в </w:t>
            </w:r>
            <w:r w:rsidRPr="00CC1B75">
              <w:rPr>
                <w:rFonts w:ascii="Times New Roman" w:hAnsi="Times New Roman"/>
                <w:sz w:val="28"/>
                <w:szCs w:val="28"/>
              </w:rPr>
              <w:lastRenderedPageBreak/>
              <w:t>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</w:t>
            </w:r>
            <w:r w:rsidR="00042852">
              <w:rPr>
                <w:rFonts w:ascii="Times New Roman" w:hAnsi="Times New Roman"/>
                <w:sz w:val="28"/>
                <w:szCs w:val="28"/>
              </w:rPr>
              <w:t>ской деятельности в Кировском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3554">
              <w:rPr>
                <w:rFonts w:ascii="Times New Roman" w:hAnsi="Times New Roman" w:cs="Times New Roman"/>
                <w:sz w:val="28"/>
                <w:szCs w:val="28"/>
              </w:rPr>
              <w:t>арегистрированных</w:t>
            </w:r>
            <w:proofErr w:type="gramEnd"/>
            <w:r w:rsidR="000835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042852">
              <w:rPr>
                <w:rFonts w:ascii="Times New Roman" w:hAnsi="Times New Roman"/>
                <w:sz w:val="28"/>
                <w:szCs w:val="28"/>
              </w:rPr>
              <w:t>на территории Кировского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сельсовета» на 2020 - 2025 годы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составляет 18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из бюджета муницип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Кировский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т  (далее – местный бюджет) –  18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042852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2020 году – 2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2021 году – 2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2022 году – 2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2023 году – 4,0 тыс. рублей;</w:t>
            </w:r>
          </w:p>
          <w:p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2024 году – 4,0 тыс. рублей;</w:t>
            </w:r>
          </w:p>
          <w:p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2025 году – 4,0 тыс. рублей.</w:t>
            </w:r>
          </w:p>
          <w:p w:rsidR="00825CBF" w:rsidRPr="00CC1B75" w:rsidRDefault="00FE3A9A" w:rsidP="004E59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042852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Кировский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40022A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</w:t>
            </w:r>
            <w:r w:rsidR="008C21A8" w:rsidRPr="0040022A">
              <w:rPr>
                <w:rFonts w:ascii="Times New Roman" w:hAnsi="Times New Roman" w:cs="Times New Roman"/>
                <w:sz w:val="28"/>
                <w:szCs w:val="28"/>
              </w:rPr>
              <w:t>ства на территории Кировского</w:t>
            </w: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BD338B" w:rsidRPr="0040022A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7"/>
                <w:szCs w:val="27"/>
              </w:rPr>
              <w:t>К концу 2025 года:</w:t>
            </w:r>
          </w:p>
          <w:p w:rsidR="003B222E" w:rsidRPr="00757AAD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>сельсовета до 25 единиц;</w:t>
            </w:r>
          </w:p>
          <w:p w:rsidR="00BD338B" w:rsidRPr="00757AAD" w:rsidRDefault="00757A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бизнесе </w:t>
            </w:r>
            <w:r w:rsidR="0040022A" w:rsidRPr="00757AAD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0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 w:rsidRPr="00757A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лей) на территории Кировского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E1490B" w:rsidRPr="00757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8C21A8">
        <w:rPr>
          <w:rFonts w:ascii="Times New Roman" w:hAnsi="Times New Roman" w:cs="Times New Roman"/>
          <w:sz w:val="28"/>
          <w:szCs w:val="28"/>
        </w:rPr>
        <w:t>ства на территории Кировского</w:t>
      </w:r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 xml:space="preserve">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</w:t>
      </w:r>
      <w:r w:rsidRPr="008E5E91">
        <w:rPr>
          <w:rFonts w:ascii="Times New Roman" w:hAnsi="Times New Roman" w:cs="Times New Roman"/>
          <w:sz w:val="28"/>
          <w:szCs w:val="28"/>
        </w:rPr>
        <w:t>решение Топчихинского районного Совета депутатов от 24.12.2013 № 85 «Об</w:t>
      </w:r>
      <w:r w:rsidRPr="00CC1B75">
        <w:rPr>
          <w:rFonts w:ascii="Times New Roman" w:hAnsi="Times New Roman" w:cs="Times New Roman"/>
          <w:sz w:val="28"/>
          <w:szCs w:val="28"/>
        </w:rPr>
        <w:t xml:space="preserve"> утверждении концепции социально-экономического развития муниципального образования Топчихинский район до 2025 года», муниципальная программа «Развитие малого и среднего предпринимательства в Топчихинском районе» на 2015-2020 годы, утвержденная постановлением  Администрации района от 24.10.2014 № 478.</w:t>
      </w:r>
      <w:proofErr w:type="gramEnd"/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</w:t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социальной стабильности территории Топчихинского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8C21A8">
        <w:rPr>
          <w:rFonts w:ascii="Times New Roman" w:hAnsi="Times New Roman"/>
          <w:sz w:val="28"/>
          <w:szCs w:val="28"/>
        </w:rPr>
        <w:t>18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8E5E91">
        <w:rPr>
          <w:rFonts w:ascii="Times New Roman" w:hAnsi="Times New Roman"/>
          <w:sz w:val="28"/>
          <w:szCs w:val="28"/>
        </w:rPr>
        <w:t>17</w:t>
      </w:r>
      <w:r w:rsidR="00DB5342">
        <w:rPr>
          <w:rFonts w:ascii="Times New Roman" w:hAnsi="Times New Roman"/>
          <w:sz w:val="28"/>
          <w:szCs w:val="28"/>
        </w:rPr>
        <w:t xml:space="preserve"> индивидуальных предпринимателя,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8E5E91">
        <w:rPr>
          <w:rFonts w:ascii="Times New Roman" w:hAnsi="Times New Roman"/>
          <w:sz w:val="28"/>
          <w:szCs w:val="28"/>
        </w:rPr>
        <w:t>1Крестьянско фермерское хозяйство</w:t>
      </w:r>
      <w:r w:rsidRPr="00CC1B75">
        <w:rPr>
          <w:rFonts w:ascii="Times New Roman" w:hAnsi="Times New Roman"/>
          <w:sz w:val="28"/>
          <w:szCs w:val="28"/>
        </w:rPr>
        <w:t xml:space="preserve">. </w:t>
      </w:r>
    </w:p>
    <w:p w:rsidR="00C97E61" w:rsidRPr="00720B5B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5B">
        <w:rPr>
          <w:rFonts w:ascii="Times New Roman" w:hAnsi="Times New Roman" w:cs="Times New Roman"/>
          <w:sz w:val="28"/>
          <w:szCs w:val="28"/>
        </w:rPr>
        <w:t>За 2010-2018 годы доля занятых в малом и среднем бизнесе в общей численности занятых в экономике сельсовета выросла на 6,4 %, достигнув на начало 201</w:t>
      </w:r>
      <w:r w:rsidR="00C97E61" w:rsidRPr="00720B5B">
        <w:rPr>
          <w:rFonts w:ascii="Times New Roman" w:hAnsi="Times New Roman" w:cs="Times New Roman"/>
          <w:sz w:val="28"/>
          <w:szCs w:val="28"/>
        </w:rPr>
        <w:t>9</w:t>
      </w:r>
      <w:r w:rsidRPr="00720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B5B" w:rsidRPr="00720B5B">
        <w:rPr>
          <w:rFonts w:ascii="Times New Roman" w:hAnsi="Times New Roman" w:cs="Times New Roman"/>
          <w:sz w:val="28"/>
          <w:szCs w:val="28"/>
        </w:rPr>
        <w:t xml:space="preserve"> 39 человек</w:t>
      </w:r>
      <w:r w:rsidRPr="00720B5B">
        <w:rPr>
          <w:rFonts w:ascii="Times New Roman" w:hAnsi="Times New Roman" w:cs="Times New Roman"/>
          <w:sz w:val="28"/>
          <w:szCs w:val="28"/>
        </w:rPr>
        <w:t xml:space="preserve">. </w:t>
      </w:r>
      <w:r w:rsidR="00C97E61" w:rsidRPr="00720B5B">
        <w:rPr>
          <w:rFonts w:ascii="Times New Roman" w:hAnsi="Times New Roman" w:cs="Times New Roman"/>
          <w:sz w:val="28"/>
          <w:szCs w:val="28"/>
        </w:rPr>
        <w:t xml:space="preserve">Количество СМСП в расчете на </w:t>
      </w:r>
      <w:r w:rsidR="00720B5B" w:rsidRPr="00720B5B">
        <w:rPr>
          <w:rFonts w:ascii="Times New Roman" w:hAnsi="Times New Roman" w:cs="Times New Roman"/>
          <w:sz w:val="28"/>
          <w:szCs w:val="28"/>
        </w:rPr>
        <w:t>территории сельсовета составило 18</w:t>
      </w:r>
      <w:r w:rsidR="00C97E61" w:rsidRPr="00720B5B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198E" w:rsidRPr="00C0668F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8F">
        <w:rPr>
          <w:rFonts w:ascii="Times New Roman" w:hAnsi="Times New Roman" w:cs="Times New Roman"/>
          <w:sz w:val="28"/>
          <w:szCs w:val="28"/>
        </w:rPr>
        <w:t>Вместе с тем, несмотря на постоянный рост,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 w:rsidRPr="00C0668F">
        <w:rPr>
          <w:rFonts w:ascii="Times New Roman" w:hAnsi="Times New Roman" w:cs="Times New Roman"/>
          <w:sz w:val="28"/>
          <w:szCs w:val="28"/>
        </w:rPr>
        <w:t>, э</w:t>
      </w:r>
      <w:r w:rsidRPr="00C0668F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0668F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0668F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 w:rsidRPr="00C0668F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Pr="00C0668F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</w:t>
      </w:r>
      <w:r w:rsidRPr="00CC1B75">
        <w:rPr>
          <w:rFonts w:ascii="Times New Roman" w:hAnsi="Times New Roman"/>
          <w:sz w:val="28"/>
          <w:szCs w:val="28"/>
        </w:rPr>
        <w:lastRenderedPageBreak/>
        <w:t>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дств пр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 xml:space="preserve">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деятельности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решению как на муниципальном </w:t>
      </w:r>
      <w:r w:rsidRPr="00CC1B75">
        <w:rPr>
          <w:rFonts w:ascii="Times New Roman" w:hAnsi="Times New Roman" w:cs="Times New Roman"/>
          <w:sz w:val="28"/>
          <w:szCs w:val="28"/>
        </w:rPr>
        <w:lastRenderedPageBreak/>
        <w:t xml:space="preserve">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</w:t>
      </w:r>
      <w:r w:rsidR="009024A8">
        <w:rPr>
          <w:rFonts w:ascii="Times New Roman" w:hAnsi="Times New Roman"/>
          <w:sz w:val="28"/>
          <w:szCs w:val="28"/>
        </w:rPr>
        <w:t>ства на территории 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>в Топчихинском районе» на 2015-2020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от 24.10.2014 № 478,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896268">
        <w:rPr>
          <w:rFonts w:ascii="Times New Roman" w:hAnsi="Times New Roman" w:cs="Times New Roman"/>
          <w:sz w:val="28"/>
          <w:szCs w:val="28"/>
        </w:rPr>
        <w:t>неса на территории Кировского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86212A">
        <w:rPr>
          <w:rFonts w:ascii="Times New Roman" w:hAnsi="Times New Roman"/>
          <w:sz w:val="28"/>
          <w:szCs w:val="28"/>
        </w:rPr>
        <w:t>ального образования Кировский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40022A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014E45" w:rsidRPr="0040022A">
        <w:rPr>
          <w:rFonts w:ascii="Times New Roman" w:hAnsi="Times New Roman"/>
          <w:sz w:val="28"/>
          <w:szCs w:val="28"/>
        </w:rPr>
        <w:t xml:space="preserve">ремонт, пошив одежды; прачечная; профессиональная уборка;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предприниматель</w:t>
      </w:r>
      <w:r w:rsidR="0040022A">
        <w:rPr>
          <w:rFonts w:ascii="Times New Roman" w:hAnsi="Times New Roman" w:cs="Times New Roman"/>
          <w:sz w:val="28"/>
          <w:szCs w:val="28"/>
        </w:rPr>
        <w:t>ства на территории Кировского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Pr="009C2EDD" w:rsidRDefault="007049AA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DD">
        <w:rPr>
          <w:rFonts w:ascii="Times New Roman" w:hAnsi="Times New Roman" w:cs="Times New Roman"/>
          <w:sz w:val="28"/>
          <w:szCs w:val="28"/>
        </w:rPr>
        <w:t>К концу 2025 года:</w:t>
      </w:r>
    </w:p>
    <w:p w:rsidR="00720B5B" w:rsidRPr="00757AAD" w:rsidRDefault="00720B5B" w:rsidP="00720B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увеличение количества СМСП на территории сельсовета до 25 единиц;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численность занятых в малом и среднем бизнесе Кировского сельсовета составит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7AA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Кировского сельсовета (по отношению к уровню предыдущего года)  составит 108%;</w:t>
      </w:r>
    </w:p>
    <w:p w:rsidR="00720B5B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на территории Кировского сельсовета составит не менее 4.</w:t>
      </w:r>
    </w:p>
    <w:p w:rsidR="00014E45" w:rsidRPr="00014E45" w:rsidRDefault="00014E45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планируется в период с 2020 по 2025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20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3A1D7B">
        <w:rPr>
          <w:rFonts w:ascii="Times New Roman" w:hAnsi="Times New Roman" w:cs="Times New Roman"/>
          <w:sz w:val="28"/>
          <w:szCs w:val="28"/>
        </w:rPr>
        <w:t>5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В целях дальнейшего развития инфраструктуры муниципальной </w:t>
      </w:r>
      <w:r w:rsidRPr="00F07D73">
        <w:rPr>
          <w:rFonts w:ascii="Times New Roman" w:hAnsi="Times New Roman" w:cs="Times New Roman"/>
          <w:sz w:val="28"/>
          <w:szCs w:val="28"/>
        </w:rPr>
        <w:lastRenderedPageBreak/>
        <w:t>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9C2EDD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r w:rsidR="0086212A">
        <w:rPr>
          <w:rFonts w:ascii="Times New Roman" w:hAnsi="Times New Roman"/>
          <w:sz w:val="28"/>
          <w:szCs w:val="28"/>
        </w:rPr>
        <w:t>Кировского</w:t>
      </w:r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896268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86212A" w:rsidRPr="0086212A">
        <w:rPr>
          <w:rFonts w:ascii="Times New Roman" w:hAnsi="Times New Roman" w:cs="Times New Roman"/>
          <w:sz w:val="28"/>
          <w:szCs w:val="28"/>
        </w:rPr>
        <w:t>18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2A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86212A">
        <w:rPr>
          <w:rFonts w:ascii="Times New Roman" w:hAnsi="Times New Roman" w:cs="Times New Roman"/>
          <w:sz w:val="28"/>
          <w:szCs w:val="28"/>
        </w:rPr>
        <w:t>местного</w:t>
      </w:r>
      <w:r w:rsidRPr="0086212A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86212A">
        <w:rPr>
          <w:rFonts w:ascii="Times New Roman" w:hAnsi="Times New Roman" w:cs="Times New Roman"/>
          <w:sz w:val="28"/>
          <w:szCs w:val="28"/>
        </w:rPr>
        <w:t>18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575F2" w:rsidRPr="0086212A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2020 году – 2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:rsidR="00C575F2" w:rsidRPr="0086212A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2021 году – 2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:rsidR="00C575F2" w:rsidRPr="0086212A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2022 году – 2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2023 году – 4,0 тыс. рублей;</w:t>
      </w:r>
    </w:p>
    <w:p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2024 году – 4,0 тыс. рублей;</w:t>
      </w:r>
    </w:p>
    <w:p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2025 году – 4,0 тыс. рублей.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>
        <w:rPr>
          <w:rFonts w:ascii="Times New Roman" w:hAnsi="Times New Roman" w:cs="Times New Roman"/>
          <w:sz w:val="28"/>
          <w:szCs w:val="28"/>
        </w:rPr>
        <w:t>льного образования Кировский</w:t>
      </w:r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</w:t>
      </w:r>
      <w:r w:rsidRPr="00C575F2">
        <w:rPr>
          <w:rFonts w:ascii="Times New Roman" w:hAnsi="Times New Roman" w:cs="Times New Roman"/>
          <w:sz w:val="28"/>
          <w:szCs w:val="28"/>
        </w:rPr>
        <w:lastRenderedPageBreak/>
        <w:t xml:space="preserve">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Топчихинского района, </w:t>
      </w:r>
      <w:r w:rsidR="009C2EDD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161E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) *100% (для индикаторов </w:t>
      </w:r>
      <w:r w:rsidRPr="000F4574">
        <w:rPr>
          <w:rFonts w:ascii="Times New Roman" w:hAnsi="Times New Roman"/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 </w:t>
      </w:r>
      <w:r w:rsidR="008C21A8">
        <w:rPr>
          <w:rFonts w:ascii="Times New Roman" w:hAnsi="Times New Roman"/>
          <w:sz w:val="28"/>
          <w:szCs w:val="28"/>
        </w:rPr>
        <w:t>Кировского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E91E49" w:rsidRDefault="008C21A8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</w:t>
      </w:r>
      <w:r w:rsidR="00E91E49" w:rsidRPr="00E91E49">
        <w:rPr>
          <w:rFonts w:ascii="Times New Roman" w:hAnsi="Times New Roman"/>
          <w:sz w:val="28"/>
          <w:szCs w:val="28"/>
        </w:rPr>
        <w:t xml:space="preserve">  сельсовета» на 2020-2025 годы</w:t>
      </w:r>
    </w:p>
    <w:p w:rsidR="00E91E49" w:rsidRPr="005E40A2" w:rsidRDefault="00E91E49" w:rsidP="00E91E49">
      <w:pPr>
        <w:spacing w:after="0"/>
      </w:pPr>
    </w:p>
    <w:p w:rsidR="00E91E49" w:rsidRPr="009E5F5A" w:rsidRDefault="00E91E49" w:rsidP="00E91E49">
      <w:pPr>
        <w:jc w:val="center"/>
        <w:rPr>
          <w:color w:val="0070C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1134"/>
        <w:gridCol w:w="141"/>
        <w:gridCol w:w="1276"/>
        <w:gridCol w:w="1276"/>
        <w:gridCol w:w="1276"/>
        <w:gridCol w:w="1275"/>
        <w:gridCol w:w="1276"/>
      </w:tblGrid>
      <w:tr w:rsidR="00E91E49" w:rsidRPr="00E91E49" w:rsidTr="008E530B">
        <w:tc>
          <w:tcPr>
            <w:tcW w:w="710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0206" w:type="dxa"/>
            <w:gridSpan w:val="9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E91E49" w:rsidRPr="00E91E49" w:rsidTr="003B222E">
        <w:tc>
          <w:tcPr>
            <w:tcW w:w="710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2019 год (оценка)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 w:rsidR="008E530B" w:rsidRPr="009515B2">
              <w:rPr>
                <w:rFonts w:ascii="Times New Roman" w:hAnsi="Times New Roman"/>
                <w:sz w:val="28"/>
                <w:szCs w:val="28"/>
              </w:rPr>
              <w:t>5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91E49" w:rsidRPr="00E91E49" w:rsidTr="003B222E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1E49" w:rsidRPr="00E91E49" w:rsidTr="008E530B">
        <w:tc>
          <w:tcPr>
            <w:tcW w:w="15735" w:type="dxa"/>
            <w:gridSpan w:val="12"/>
          </w:tcPr>
          <w:p w:rsidR="00E95C51" w:rsidRDefault="00E91E49" w:rsidP="00E95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95C51" w:rsidRPr="00E91E49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</w:p>
          <w:p w:rsidR="00E91E49" w:rsidRPr="009515B2" w:rsidRDefault="00E95C51" w:rsidP="00E95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 сельсовета» на 2020-2025 годы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91E49" w:rsidRPr="009515B2" w:rsidRDefault="00E91E49" w:rsidP="00164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  <w:r w:rsidR="00164CB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164CB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66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91E49" w:rsidRPr="009515B2" w:rsidRDefault="00164CB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66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91E49" w:rsidRPr="009515B2" w:rsidRDefault="00164CB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gridSpan w:val="2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164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164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164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9515B2"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9515B2"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E91E49" w:rsidRPr="009515B2" w:rsidRDefault="00164CB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276" w:type="dxa"/>
          </w:tcPr>
          <w:p w:rsidR="00E91E49" w:rsidRPr="009515B2" w:rsidRDefault="00720B5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164CB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66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91E49" w:rsidRPr="009515B2" w:rsidRDefault="00C0668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1E49" w:rsidRPr="00E1490B" w:rsidTr="008E530B">
        <w:tc>
          <w:tcPr>
            <w:tcW w:w="710" w:type="dxa"/>
          </w:tcPr>
          <w:p w:rsidR="00E91E49" w:rsidRPr="00E1490B" w:rsidRDefault="009515B2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E149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91E49" w:rsidRPr="00E1490B" w:rsidRDefault="00E91E49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средних </w:t>
            </w:r>
            <w:r w:rsidR="00557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предприятиях сельсовета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</w:t>
            </w:r>
          </w:p>
        </w:tc>
        <w:tc>
          <w:tcPr>
            <w:tcW w:w="1276" w:type="dxa"/>
          </w:tcPr>
          <w:p w:rsidR="00E91E49" w:rsidRPr="00E1490B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E91E49" w:rsidRPr="00E1490B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9515B2" w:rsidRPr="00E1490B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E91E49" w:rsidRPr="00E1490B" w:rsidRDefault="009515B2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gridSpan w:val="2"/>
          </w:tcPr>
          <w:p w:rsidR="00C6010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275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08,0</w:t>
            </w:r>
          </w:p>
        </w:tc>
      </w:tr>
      <w:tr w:rsidR="00E1490B" w:rsidRPr="00E1490B" w:rsidTr="008E530B">
        <w:tc>
          <w:tcPr>
            <w:tcW w:w="710" w:type="dxa"/>
          </w:tcPr>
          <w:p w:rsidR="00E1490B" w:rsidRPr="00E1490B" w:rsidRDefault="00E1490B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E1490B" w:rsidRPr="00E1490B" w:rsidRDefault="00E1490B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E1490B" w:rsidRPr="00E1490B" w:rsidRDefault="00E1490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490B" w:rsidRPr="00E1490B" w:rsidRDefault="00E1490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</w:t>
      </w: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2A5365">
        <w:rPr>
          <w:rFonts w:ascii="Times New Roman" w:hAnsi="Times New Roman"/>
          <w:sz w:val="28"/>
          <w:szCs w:val="28"/>
        </w:rPr>
        <w:t>Кировског</w:t>
      </w:r>
      <w:r w:rsidR="00CF256C" w:rsidRPr="005E40A2">
        <w:rPr>
          <w:rFonts w:ascii="Times New Roman" w:hAnsi="Times New Roman"/>
          <w:sz w:val="28"/>
          <w:szCs w:val="28"/>
        </w:rPr>
        <w:t>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E91E49">
        <w:rPr>
          <w:rFonts w:ascii="Times New Roman" w:hAnsi="Times New Roman"/>
          <w:sz w:val="28"/>
          <w:szCs w:val="28"/>
        </w:rPr>
        <w:t>5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DB5A30">
        <w:rPr>
          <w:rFonts w:ascii="Times New Roman" w:hAnsi="Times New Roman"/>
          <w:sz w:val="28"/>
          <w:szCs w:val="28"/>
        </w:rPr>
        <w:t>Кировского</w:t>
      </w:r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783A43" w:rsidRPr="005E40A2">
        <w:rPr>
          <w:rFonts w:ascii="Times New Roman" w:hAnsi="Times New Roman"/>
          <w:sz w:val="28"/>
          <w:szCs w:val="28"/>
        </w:rPr>
        <w:t>5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2"/>
        <w:gridCol w:w="853"/>
        <w:gridCol w:w="850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3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303BB5" w:rsidRPr="005E40A2" w:rsidTr="008D1A77">
        <w:trPr>
          <w:trHeight w:val="720"/>
        </w:trPr>
        <w:tc>
          <w:tcPr>
            <w:tcW w:w="54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5E40A2" w:rsidTr="008D1A77">
        <w:trPr>
          <w:trHeight w:val="330"/>
        </w:trPr>
        <w:tc>
          <w:tcPr>
            <w:tcW w:w="54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61086" w:rsidRPr="005E40A2" w:rsidRDefault="00561086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03BB5" w:rsidRPr="00CC1B75" w:rsidTr="008D1A77">
        <w:trPr>
          <w:trHeight w:val="428"/>
        </w:trPr>
        <w:tc>
          <w:tcPr>
            <w:tcW w:w="541" w:type="dxa"/>
            <w:vMerge w:val="restart"/>
          </w:tcPr>
          <w:p w:rsidR="00561086" w:rsidRPr="00783A43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561086" w:rsidRPr="005E40A2" w:rsidRDefault="00561086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 w:rsidR="00720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Кировского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:rsidR="00561086" w:rsidRPr="00783A43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561086" w:rsidRPr="00783A43" w:rsidRDefault="00720B5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</w:t>
            </w:r>
            <w:r w:rsidR="00561086"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A81"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18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561086" w:rsidRPr="00624DC3" w:rsidRDefault="00561086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971"/>
        </w:trPr>
        <w:tc>
          <w:tcPr>
            <w:tcW w:w="541" w:type="dxa"/>
            <w:vMerge/>
          </w:tcPr>
          <w:p w:rsidR="00624DC3" w:rsidRPr="00783A43" w:rsidRDefault="00624DC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783A43" w:rsidRDefault="00624DC3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18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324"/>
        </w:trPr>
        <w:tc>
          <w:tcPr>
            <w:tcW w:w="541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303BB5" w:rsidRPr="005E40A2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303BB5" w:rsidRPr="00624DC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303BB5" w:rsidRPr="00624DC3" w:rsidRDefault="00383A8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="00303BB5"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3BB5" w:rsidRPr="00624DC3" w:rsidRDefault="00303BB5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892"/>
        </w:trPr>
        <w:tc>
          <w:tcPr>
            <w:tcW w:w="541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783A4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408"/>
        </w:trPr>
        <w:tc>
          <w:tcPr>
            <w:tcW w:w="541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B84949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624DC3" w:rsidRPr="00624DC3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2123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624DC3" w:rsidRPr="00624DC3" w:rsidRDefault="00383A81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935"/>
        </w:trPr>
        <w:tc>
          <w:tcPr>
            <w:tcW w:w="541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624DC3" w:rsidRDefault="00624DC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84949" w:rsidRPr="00CC1B75" w:rsidTr="008D1A77">
        <w:trPr>
          <w:trHeight w:val="1013"/>
        </w:trPr>
        <w:tc>
          <w:tcPr>
            <w:tcW w:w="541" w:type="dxa"/>
            <w:vMerge w:val="restart"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  <w:vMerge w:val="restart"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B84949" w:rsidRPr="00B84949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84949"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1012"/>
        </w:trPr>
        <w:tc>
          <w:tcPr>
            <w:tcW w:w="541" w:type="dxa"/>
            <w:vMerge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968"/>
        </w:trPr>
        <w:tc>
          <w:tcPr>
            <w:tcW w:w="541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967"/>
        </w:trPr>
        <w:tc>
          <w:tcPr>
            <w:tcW w:w="541" w:type="dxa"/>
            <w:vMerge/>
          </w:tcPr>
          <w:p w:rsid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CC1B7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CC1B7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CC1B7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303BB5" w:rsidRPr="005E40A2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3BB5" w:rsidRPr="005E40A2">
              <w:rPr>
                <w:rFonts w:ascii="Times New Roman" w:hAnsi="Times New Roman"/>
                <w:b/>
                <w:sz w:val="24"/>
                <w:szCs w:val="24"/>
              </w:rPr>
              <w:t>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303BB5" w:rsidRDefault="00303BB5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33D7E" w:rsidRPr="00CC1B75" w:rsidTr="008D1A77">
        <w:trPr>
          <w:trHeight w:val="1343"/>
        </w:trPr>
        <w:tc>
          <w:tcPr>
            <w:tcW w:w="541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2020-2025 годы</w:t>
            </w:r>
          </w:p>
        </w:tc>
        <w:tc>
          <w:tcPr>
            <w:tcW w:w="2123" w:type="dxa"/>
            <w:vMerge w:val="restart"/>
          </w:tcPr>
          <w:p w:rsidR="00A33D7E" w:rsidRP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33D7E" w:rsidRPr="00CC1B75" w:rsidTr="008D1A77">
        <w:trPr>
          <w:trHeight w:val="1342"/>
        </w:trPr>
        <w:tc>
          <w:tcPr>
            <w:tcW w:w="541" w:type="dxa"/>
            <w:vMerge/>
          </w:tcPr>
          <w:p w:rsid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A33D7E" w:rsidRPr="00CC1B75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33D7E" w:rsidRPr="00CC1B75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33D7E" w:rsidRPr="00CC1B75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 w:val="restart"/>
          </w:tcPr>
          <w:p w:rsidR="004B4743" w:rsidRP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  <w:vMerge w:val="restart"/>
          </w:tcPr>
          <w:p w:rsidR="004B4743" w:rsidRPr="004B4743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4743" w:rsidRPr="004B4743" w:rsidRDefault="004B4743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 w:rsidR="0016044F"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4B4743" w:rsidRPr="005E40A2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4B4743" w:rsidRPr="005E40A2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B4743" w:rsidRPr="00CC1B75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B4743" w:rsidRPr="00CC1B75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A77" w:rsidRPr="00CC1B75" w:rsidTr="008D1A77">
        <w:trPr>
          <w:trHeight w:val="968"/>
        </w:trPr>
        <w:tc>
          <w:tcPr>
            <w:tcW w:w="541" w:type="dxa"/>
            <w:vMerge w:val="restart"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A77" w:rsidRPr="008D1A77" w:rsidRDefault="008D1A77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 w:rsidR="0016044F">
              <w:rPr>
                <w:rFonts w:ascii="Times New Roman" w:hAnsi="Times New Roman"/>
                <w:sz w:val="24"/>
                <w:szCs w:val="24"/>
              </w:rPr>
              <w:t>ской деятельности в Кировском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D1A77" w:rsidRPr="008D1A77" w:rsidRDefault="008D1A77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3A81"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D1A77" w:rsidRPr="00CC1B75" w:rsidTr="008D1A77">
        <w:trPr>
          <w:trHeight w:val="967"/>
        </w:trPr>
        <w:tc>
          <w:tcPr>
            <w:tcW w:w="541" w:type="dxa"/>
            <w:vMerge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266"/>
        </w:trPr>
        <w:tc>
          <w:tcPr>
            <w:tcW w:w="541" w:type="dxa"/>
            <w:vMerge w:val="restart"/>
          </w:tcPr>
          <w:p w:rsidR="00561086" w:rsidRPr="008D1A77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</w:t>
            </w:r>
            <w:r w:rsidR="00305C58" w:rsidRPr="008D1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vMerge w:val="restart"/>
          </w:tcPr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305C58" w:rsidRPr="008D1A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сопровождение, направленное на формирование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561086" w:rsidRPr="008D1A77" w:rsidRDefault="008D1A77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5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8D1A77" w:rsidRDefault="00561086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8D1A7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2A5365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18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</w:tcPr>
          <w:p w:rsidR="00561086" w:rsidRPr="00DB5A30" w:rsidRDefault="00561086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D1A77" w:rsidRPr="00DB5A30" w:rsidRDefault="008D1A77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A77" w:rsidRPr="00DB5A30" w:rsidRDefault="008D1A77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61086" w:rsidRPr="00DB5A30" w:rsidRDefault="008D1A77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</w:t>
            </w: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CC1B75" w:rsidTr="008D1A77">
        <w:trPr>
          <w:trHeight w:val="950"/>
        </w:trPr>
        <w:tc>
          <w:tcPr>
            <w:tcW w:w="54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CC1B75" w:rsidRDefault="00561086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DB5A30" w:rsidRDefault="002A5365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561086" w:rsidRPr="00DB5A30" w:rsidRDefault="002A5365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2A5365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06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8D1A77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2A5365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18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:rsidR="000C11E3" w:rsidRDefault="0072007A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2007A" w:rsidRPr="005E40A2" w:rsidRDefault="000C11E3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DB5A30">
        <w:rPr>
          <w:rFonts w:ascii="Times New Roman" w:hAnsi="Times New Roman"/>
          <w:sz w:val="28"/>
          <w:szCs w:val="28"/>
        </w:rPr>
        <w:t>ства на территории Кировского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B5A30">
        <w:rPr>
          <w:rFonts w:ascii="Times New Roman" w:hAnsi="Times New Roman"/>
          <w:sz w:val="28"/>
          <w:szCs w:val="28"/>
        </w:rPr>
        <w:t xml:space="preserve"> сельсовета»  на  2020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DB5A30">
        <w:rPr>
          <w:rFonts w:ascii="Times New Roman" w:hAnsi="Times New Roman"/>
          <w:sz w:val="28"/>
          <w:szCs w:val="28"/>
        </w:rPr>
        <w:t>5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275"/>
        <w:gridCol w:w="1276"/>
        <w:gridCol w:w="1701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7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E91E49" w:rsidRPr="00E91E49" w:rsidTr="00E91E49">
        <w:tc>
          <w:tcPr>
            <w:tcW w:w="5528" w:type="dxa"/>
            <w:vMerge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E91E49" w:rsidRPr="00DB5A30" w:rsidRDefault="00DB5A3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E91E49" w:rsidRPr="00DB5A30" w:rsidRDefault="00DB5A30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18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E91E49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 w:rsidR="00240343">
              <w:rPr>
                <w:rFonts w:ascii="Times New Roman" w:hAnsi="Times New Roman"/>
                <w:sz w:val="28"/>
                <w:szCs w:val="28"/>
              </w:rPr>
              <w:t>ального образования Кировский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E91E49" w:rsidRPr="00DB5A30" w:rsidRDefault="00DB5A30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18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83554"/>
    <w:rsid w:val="000C11E3"/>
    <w:rsid w:val="000D2D3B"/>
    <w:rsid w:val="000D31D8"/>
    <w:rsid w:val="000D79FD"/>
    <w:rsid w:val="000E7EC1"/>
    <w:rsid w:val="000F4574"/>
    <w:rsid w:val="0011435A"/>
    <w:rsid w:val="00122D01"/>
    <w:rsid w:val="00131D60"/>
    <w:rsid w:val="0013240C"/>
    <w:rsid w:val="0016044F"/>
    <w:rsid w:val="00161EC7"/>
    <w:rsid w:val="00164CBA"/>
    <w:rsid w:val="00196BD2"/>
    <w:rsid w:val="001975C8"/>
    <w:rsid w:val="001E40A3"/>
    <w:rsid w:val="00204931"/>
    <w:rsid w:val="00204A35"/>
    <w:rsid w:val="00204FE1"/>
    <w:rsid w:val="002112BF"/>
    <w:rsid w:val="002370C0"/>
    <w:rsid w:val="00240343"/>
    <w:rsid w:val="00272D40"/>
    <w:rsid w:val="002A5365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A1D7B"/>
    <w:rsid w:val="003B222E"/>
    <w:rsid w:val="003F1AA4"/>
    <w:rsid w:val="003F7F43"/>
    <w:rsid w:val="0040022A"/>
    <w:rsid w:val="00412C42"/>
    <w:rsid w:val="004251C4"/>
    <w:rsid w:val="0043117B"/>
    <w:rsid w:val="004330B1"/>
    <w:rsid w:val="00434E68"/>
    <w:rsid w:val="0044089A"/>
    <w:rsid w:val="00451AF4"/>
    <w:rsid w:val="00466CC2"/>
    <w:rsid w:val="00473874"/>
    <w:rsid w:val="00475FEF"/>
    <w:rsid w:val="004850DC"/>
    <w:rsid w:val="004A6D75"/>
    <w:rsid w:val="004B4743"/>
    <w:rsid w:val="004D759B"/>
    <w:rsid w:val="004E208D"/>
    <w:rsid w:val="004E59E6"/>
    <w:rsid w:val="004F75AD"/>
    <w:rsid w:val="00502367"/>
    <w:rsid w:val="0051529F"/>
    <w:rsid w:val="005242F0"/>
    <w:rsid w:val="005307F7"/>
    <w:rsid w:val="00533A82"/>
    <w:rsid w:val="00541A16"/>
    <w:rsid w:val="00557F28"/>
    <w:rsid w:val="00561086"/>
    <w:rsid w:val="005617A5"/>
    <w:rsid w:val="0058181F"/>
    <w:rsid w:val="00592619"/>
    <w:rsid w:val="005A61A0"/>
    <w:rsid w:val="005E40A2"/>
    <w:rsid w:val="00602DC3"/>
    <w:rsid w:val="00624DC3"/>
    <w:rsid w:val="00643D6E"/>
    <w:rsid w:val="00650593"/>
    <w:rsid w:val="006727BA"/>
    <w:rsid w:val="00693287"/>
    <w:rsid w:val="006C4CC6"/>
    <w:rsid w:val="006C59CA"/>
    <w:rsid w:val="007049AA"/>
    <w:rsid w:val="00710F32"/>
    <w:rsid w:val="0072007A"/>
    <w:rsid w:val="00720B5B"/>
    <w:rsid w:val="00721625"/>
    <w:rsid w:val="00735C62"/>
    <w:rsid w:val="00743FCA"/>
    <w:rsid w:val="00757AAD"/>
    <w:rsid w:val="00772682"/>
    <w:rsid w:val="00772A91"/>
    <w:rsid w:val="0077343E"/>
    <w:rsid w:val="00783A43"/>
    <w:rsid w:val="007A25B8"/>
    <w:rsid w:val="00816192"/>
    <w:rsid w:val="008168B3"/>
    <w:rsid w:val="00825CBF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F246B"/>
    <w:rsid w:val="00901835"/>
    <w:rsid w:val="009024A8"/>
    <w:rsid w:val="00902FA3"/>
    <w:rsid w:val="009203B3"/>
    <w:rsid w:val="009515B2"/>
    <w:rsid w:val="00970A5B"/>
    <w:rsid w:val="0098742C"/>
    <w:rsid w:val="00991BAF"/>
    <w:rsid w:val="009A7BE1"/>
    <w:rsid w:val="009C2EDD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6D64"/>
    <w:rsid w:val="00B56851"/>
    <w:rsid w:val="00B70D6A"/>
    <w:rsid w:val="00B84949"/>
    <w:rsid w:val="00B86895"/>
    <w:rsid w:val="00B91346"/>
    <w:rsid w:val="00BA3232"/>
    <w:rsid w:val="00BC0851"/>
    <w:rsid w:val="00BD338B"/>
    <w:rsid w:val="00BD3BB6"/>
    <w:rsid w:val="00BD5844"/>
    <w:rsid w:val="00BD5F9B"/>
    <w:rsid w:val="00BF7A16"/>
    <w:rsid w:val="00C0668F"/>
    <w:rsid w:val="00C32D94"/>
    <w:rsid w:val="00C575F2"/>
    <w:rsid w:val="00C60109"/>
    <w:rsid w:val="00C7255E"/>
    <w:rsid w:val="00C75440"/>
    <w:rsid w:val="00C8358A"/>
    <w:rsid w:val="00C878E8"/>
    <w:rsid w:val="00C97E61"/>
    <w:rsid w:val="00CC1B75"/>
    <w:rsid w:val="00CD58DA"/>
    <w:rsid w:val="00CF256C"/>
    <w:rsid w:val="00D14C28"/>
    <w:rsid w:val="00D2198E"/>
    <w:rsid w:val="00D46485"/>
    <w:rsid w:val="00D61B70"/>
    <w:rsid w:val="00D83BB6"/>
    <w:rsid w:val="00DA34E6"/>
    <w:rsid w:val="00DB5342"/>
    <w:rsid w:val="00DB5A30"/>
    <w:rsid w:val="00DE479C"/>
    <w:rsid w:val="00DF6A12"/>
    <w:rsid w:val="00DF7E1F"/>
    <w:rsid w:val="00E056C7"/>
    <w:rsid w:val="00E07EC5"/>
    <w:rsid w:val="00E1490B"/>
    <w:rsid w:val="00E91E49"/>
    <w:rsid w:val="00E95C51"/>
    <w:rsid w:val="00EB3D92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5D3E"/>
    <w:rsid w:val="00FC60A6"/>
    <w:rsid w:val="00FC7DB0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688-0F77-4D52-AAA3-A2F5B3A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20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WORK</cp:lastModifiedBy>
  <cp:revision>32</cp:revision>
  <cp:lastPrinted>2019-09-26T04:43:00Z</cp:lastPrinted>
  <dcterms:created xsi:type="dcterms:W3CDTF">2017-12-20T10:52:00Z</dcterms:created>
  <dcterms:modified xsi:type="dcterms:W3CDTF">2019-11-05T10:29:00Z</dcterms:modified>
</cp:coreProperties>
</file>