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B9509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ПАРФЁНОВСКОГО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5C402B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30.10</w:t>
      </w:r>
      <w:r w:rsidR="000659E8" w:rsidRPr="000659E8">
        <w:rPr>
          <w:b w:val="0"/>
          <w:sz w:val="24"/>
          <w:szCs w:val="24"/>
        </w:rPr>
        <w:t>.2019г.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№ </w:t>
      </w:r>
      <w:r>
        <w:rPr>
          <w:b w:val="0"/>
          <w:sz w:val="24"/>
          <w:szCs w:val="24"/>
        </w:rPr>
        <w:t>43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B9509D">
        <w:rPr>
          <w:sz w:val="18"/>
          <w:szCs w:val="18"/>
        </w:rPr>
        <w:t>с</w:t>
      </w:r>
      <w:proofErr w:type="gramStart"/>
      <w:r w:rsidR="00B9509D">
        <w:rPr>
          <w:sz w:val="18"/>
          <w:szCs w:val="18"/>
        </w:rPr>
        <w:t>.П</w:t>
      </w:r>
      <w:proofErr w:type="gramEnd"/>
      <w:r w:rsidR="00B9509D">
        <w:rPr>
          <w:sz w:val="18"/>
          <w:szCs w:val="18"/>
        </w:rPr>
        <w:t>арфёново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896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proofErr w:type="spellStart"/>
            <w:r w:rsidR="00B9509D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D58DA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>-202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5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</w:t>
      </w:r>
      <w:proofErr w:type="gramEnd"/>
      <w:r>
        <w:rPr>
          <w:rFonts w:ascii="Times New Roman" w:hAnsi="Times New Roman"/>
          <w:sz w:val="28"/>
          <w:szCs w:val="28"/>
        </w:rPr>
        <w:t xml:space="preserve"> 17.11.2008 №110-ЗС «О развитии малого и среднего предпринимательства в Алтайском крае», Уставом муници</w:t>
      </w:r>
      <w:r w:rsidR="00BC0851">
        <w:rPr>
          <w:rFonts w:ascii="Times New Roman" w:hAnsi="Times New Roman"/>
          <w:sz w:val="28"/>
          <w:szCs w:val="28"/>
        </w:rPr>
        <w:t>п</w:t>
      </w:r>
      <w:r w:rsidR="00B9509D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CC1B75">
        <w:rPr>
          <w:rFonts w:ascii="Times New Roman" w:hAnsi="Times New Roman"/>
          <w:sz w:val="28"/>
          <w:szCs w:val="28"/>
        </w:rPr>
        <w:t xml:space="preserve">, </w:t>
      </w:r>
      <w:r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0659E8">
        <w:rPr>
          <w:rFonts w:ascii="Times New Roman" w:hAnsi="Times New Roman"/>
          <w:b/>
          <w:sz w:val="28"/>
          <w:szCs w:val="28"/>
        </w:rPr>
        <w:t>:</w:t>
      </w:r>
    </w:p>
    <w:p w:rsidR="00541A16" w:rsidRPr="00FC6F8D" w:rsidRDefault="00541A16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B9509D">
        <w:rPr>
          <w:rFonts w:ascii="Times New Roman" w:hAnsi="Times New Roman"/>
          <w:sz w:val="28"/>
          <w:szCs w:val="28"/>
        </w:rPr>
        <w:t xml:space="preserve">ьства на территории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BC0851">
        <w:rPr>
          <w:rFonts w:ascii="Times New Roman" w:hAnsi="Times New Roman"/>
          <w:sz w:val="28"/>
          <w:szCs w:val="28"/>
        </w:rPr>
        <w:t xml:space="preserve"> сельсовета» на 20</w:t>
      </w:r>
      <w:r w:rsidR="00CC1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CC1B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533A82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B950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509D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5C402B">
        <w:rPr>
          <w:rFonts w:ascii="Times New Roman" w:hAnsi="Times New Roman"/>
          <w:sz w:val="28"/>
          <w:szCs w:val="28"/>
        </w:rPr>
        <w:t xml:space="preserve"> 30.10.2019 </w:t>
      </w:r>
      <w:r w:rsidRPr="00CC1B75">
        <w:rPr>
          <w:rFonts w:ascii="Times New Roman" w:hAnsi="Times New Roman"/>
          <w:sz w:val="28"/>
          <w:szCs w:val="28"/>
        </w:rPr>
        <w:t xml:space="preserve"> № </w:t>
      </w:r>
      <w:r w:rsidR="005C402B">
        <w:rPr>
          <w:rFonts w:ascii="Times New Roman" w:hAnsi="Times New Roman"/>
          <w:sz w:val="28"/>
          <w:szCs w:val="28"/>
        </w:rPr>
        <w:t xml:space="preserve"> 43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B9509D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B9509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й при Администрации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МСП)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, формирования конкурентной среды в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B9509D">
              <w:rPr>
                <w:rFonts w:ascii="Times New Roman" w:hAnsi="Times New Roman"/>
                <w:sz w:val="28"/>
                <w:szCs w:val="28"/>
              </w:rPr>
              <w:t xml:space="preserve">ской деятельности в </w:t>
            </w:r>
            <w:proofErr w:type="spellStart"/>
            <w:r w:rsidR="00B9509D">
              <w:rPr>
                <w:rFonts w:ascii="Times New Roman" w:hAnsi="Times New Roman"/>
                <w:sz w:val="28"/>
                <w:szCs w:val="28"/>
              </w:rPr>
              <w:t>Парфёновском</w:t>
            </w:r>
            <w:proofErr w:type="spellEnd"/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proofErr w:type="gramEnd"/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</w:t>
            </w:r>
            <w:r w:rsidR="00BE2390">
              <w:rPr>
                <w:rFonts w:ascii="Times New Roman" w:hAnsi="Times New Roman" w:cs="Times New Roman"/>
                <w:sz w:val="28"/>
                <w:szCs w:val="28"/>
              </w:rPr>
              <w:t>редприятиях сельсовета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B9509D" w:rsidRPr="00580F96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9509D" w:rsidRPr="00580F96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580F96">
              <w:rPr>
                <w:rFonts w:ascii="Times New Roman" w:hAnsi="Times New Roman"/>
                <w:sz w:val="28"/>
                <w:szCs w:val="28"/>
              </w:rPr>
              <w:t xml:space="preserve"> сельсовета» на 2020 - 2025 годы</w:t>
            </w:r>
          </w:p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0F96" w:rsidRPr="00580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т  (далее – местный бюджет) –  </w:t>
            </w:r>
            <w:r w:rsidR="00580F96" w:rsidRPr="00580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580F96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2020 году – 2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580F9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2021 году – 3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2022 году – 2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2023 году – 4,0 тыс. рублей;</w:t>
            </w:r>
          </w:p>
          <w:p w:rsidR="00FE3A9A" w:rsidRPr="00580F96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2024 году – 4,0 тыс. рублей;</w:t>
            </w:r>
          </w:p>
          <w:p w:rsidR="00FE3A9A" w:rsidRPr="00580F96" w:rsidRDefault="00580F9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2025 году – 5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825CBF" w:rsidRPr="00580F96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ства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7"/>
                <w:szCs w:val="27"/>
              </w:rPr>
              <w:t>К концу 2025 года:</w:t>
            </w:r>
          </w:p>
          <w:p w:rsidR="003B222E" w:rsidRPr="00580F96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до </w:t>
            </w:r>
            <w:r w:rsidR="00580F96" w:rsidRPr="00580F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B222E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B9509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="00BD338B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="003B08B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F03B61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среднеме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сячной начисленной заработной платы одного работника на малых и средних предприятиях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>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лей)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F03B61" w:rsidRPr="00F03B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B9509D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B9509D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</w:t>
      </w:r>
      <w:r w:rsidRPr="008E5E91">
        <w:rPr>
          <w:rFonts w:ascii="Times New Roman" w:hAnsi="Times New Roman" w:cs="Times New Roman"/>
          <w:sz w:val="28"/>
          <w:szCs w:val="28"/>
        </w:rPr>
        <w:t>решение Топчихинского районного Совета депутатов от 24.12.2013 № 85 «Об</w:t>
      </w:r>
      <w:r w:rsidRPr="00CC1B75">
        <w:rPr>
          <w:rFonts w:ascii="Times New Roman" w:hAnsi="Times New Roman" w:cs="Times New Roman"/>
          <w:sz w:val="28"/>
          <w:szCs w:val="28"/>
        </w:rPr>
        <w:t xml:space="preserve">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</w:t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</w:t>
      </w:r>
      <w:r w:rsidR="00B9509D">
        <w:rPr>
          <w:rFonts w:ascii="Times New Roman" w:hAnsi="Times New Roman"/>
          <w:sz w:val="28"/>
          <w:szCs w:val="28"/>
        </w:rPr>
        <w:t xml:space="preserve">ой стабильности территории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B9509D">
        <w:rPr>
          <w:rFonts w:ascii="Times New Roman" w:hAnsi="Times New Roman"/>
          <w:sz w:val="28"/>
          <w:szCs w:val="28"/>
        </w:rPr>
        <w:t>25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</w:t>
      </w:r>
      <w:r w:rsidR="00F91492">
        <w:rPr>
          <w:rFonts w:ascii="Times New Roman" w:hAnsi="Times New Roman"/>
          <w:sz w:val="28"/>
          <w:szCs w:val="28"/>
        </w:rPr>
        <w:t>а.</w:t>
      </w:r>
      <w:r w:rsidRPr="00CC1B75">
        <w:rPr>
          <w:rFonts w:ascii="Times New Roman" w:hAnsi="Times New Roman"/>
          <w:sz w:val="28"/>
          <w:szCs w:val="28"/>
        </w:rPr>
        <w:t xml:space="preserve"> </w:t>
      </w:r>
    </w:p>
    <w:p w:rsidR="00C97E61" w:rsidRPr="00580F96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>За 2010-2018 годы доля занятых в малом и среднем бизнесе в общей численности занятых в экономике сельсовета выросла на 6,4 %, достигнув на начало 201</w:t>
      </w:r>
      <w:r w:rsidR="00C97E61" w:rsidRPr="00580F96">
        <w:rPr>
          <w:rFonts w:ascii="Times New Roman" w:hAnsi="Times New Roman" w:cs="Times New Roman"/>
          <w:sz w:val="28"/>
          <w:szCs w:val="28"/>
        </w:rPr>
        <w:t>9</w:t>
      </w:r>
      <w:r w:rsidRPr="0058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5F55" w:rsidRPr="00580F96">
        <w:rPr>
          <w:rFonts w:ascii="Times New Roman" w:hAnsi="Times New Roman" w:cs="Times New Roman"/>
          <w:sz w:val="28"/>
          <w:szCs w:val="28"/>
        </w:rPr>
        <w:t xml:space="preserve"> 53</w:t>
      </w:r>
      <w:r w:rsidR="00720B5B" w:rsidRPr="00580F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80F96">
        <w:rPr>
          <w:rFonts w:ascii="Times New Roman" w:hAnsi="Times New Roman" w:cs="Times New Roman"/>
          <w:sz w:val="28"/>
          <w:szCs w:val="28"/>
        </w:rPr>
        <w:t xml:space="preserve">. </w:t>
      </w:r>
      <w:r w:rsidR="00C97E61" w:rsidRPr="00580F96">
        <w:rPr>
          <w:rFonts w:ascii="Times New Roman" w:hAnsi="Times New Roman" w:cs="Times New Roman"/>
          <w:sz w:val="28"/>
          <w:szCs w:val="28"/>
        </w:rPr>
        <w:t xml:space="preserve">Количество СМСП в расчете на </w:t>
      </w:r>
      <w:r w:rsidR="00720B5B" w:rsidRPr="00580F96">
        <w:rPr>
          <w:rFonts w:ascii="Times New Roman" w:hAnsi="Times New Roman" w:cs="Times New Roman"/>
          <w:sz w:val="28"/>
          <w:szCs w:val="28"/>
        </w:rPr>
        <w:t>те</w:t>
      </w:r>
      <w:r w:rsidR="00065F55" w:rsidRPr="00580F96">
        <w:rPr>
          <w:rFonts w:ascii="Times New Roman" w:hAnsi="Times New Roman" w:cs="Times New Roman"/>
          <w:sz w:val="28"/>
          <w:szCs w:val="28"/>
        </w:rPr>
        <w:t>рритории сельсовета составило 25</w:t>
      </w:r>
      <w:r w:rsidR="00C97E61" w:rsidRPr="00580F96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C0668F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8F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 w:rsidRPr="00C0668F">
        <w:rPr>
          <w:rFonts w:ascii="Times New Roman" w:hAnsi="Times New Roman" w:cs="Times New Roman"/>
          <w:sz w:val="28"/>
          <w:szCs w:val="28"/>
        </w:rPr>
        <w:t>, э</w:t>
      </w:r>
      <w:r w:rsidRPr="00C0668F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0668F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0668F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 w:rsidRPr="00C0668F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0668F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</w:t>
      </w:r>
      <w:r w:rsidRPr="00CC1B75">
        <w:rPr>
          <w:rFonts w:ascii="Times New Roman" w:hAnsi="Times New Roman"/>
          <w:sz w:val="28"/>
          <w:szCs w:val="28"/>
        </w:rPr>
        <w:lastRenderedPageBreak/>
        <w:t>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решению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</w:t>
      </w:r>
      <w:r w:rsidR="00065F55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065F55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>неса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40022A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014E45" w:rsidRPr="0040022A">
        <w:rPr>
          <w:rFonts w:ascii="Times New Roman" w:hAnsi="Times New Roman"/>
          <w:sz w:val="28"/>
          <w:szCs w:val="28"/>
        </w:rPr>
        <w:t xml:space="preserve">ремонт, пошив одежды; прачечная; профессиональная уборка;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065F55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C2EDD" w:rsidRDefault="007049A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DD">
        <w:rPr>
          <w:rFonts w:ascii="Times New Roman" w:hAnsi="Times New Roman" w:cs="Times New Roman"/>
          <w:sz w:val="28"/>
          <w:szCs w:val="28"/>
        </w:rPr>
        <w:t>К концу 2025 года:</w:t>
      </w:r>
    </w:p>
    <w:p w:rsidR="00720B5B" w:rsidRPr="00580F96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увеличение количества СМСП на территории сельсовета </w:t>
      </w:r>
      <w:r w:rsidRPr="00580F96">
        <w:rPr>
          <w:rFonts w:ascii="Times New Roman" w:hAnsi="Times New Roman" w:cs="Times New Roman"/>
          <w:sz w:val="28"/>
          <w:szCs w:val="28"/>
        </w:rPr>
        <w:t xml:space="preserve">до </w:t>
      </w:r>
      <w:r w:rsidR="00580F96" w:rsidRPr="00580F96">
        <w:rPr>
          <w:rFonts w:ascii="Times New Roman" w:hAnsi="Times New Roman" w:cs="Times New Roman"/>
          <w:sz w:val="28"/>
          <w:szCs w:val="28"/>
        </w:rPr>
        <w:t>31</w:t>
      </w:r>
      <w:r w:rsidRPr="00580F96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20B5B" w:rsidRPr="00580F96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>- численность занятых в ма</w:t>
      </w:r>
      <w:r w:rsidR="00065F55" w:rsidRPr="00580F96">
        <w:rPr>
          <w:rFonts w:ascii="Times New Roman" w:hAnsi="Times New Roman" w:cs="Times New Roman"/>
          <w:sz w:val="28"/>
          <w:szCs w:val="28"/>
        </w:rPr>
        <w:t xml:space="preserve">лом и среднем бизнесе </w:t>
      </w:r>
      <w:proofErr w:type="spellStart"/>
      <w:r w:rsidR="00065F55" w:rsidRPr="00580F96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580F96">
        <w:rPr>
          <w:rFonts w:ascii="Times New Roman" w:hAnsi="Times New Roman" w:cs="Times New Roman"/>
          <w:sz w:val="28"/>
          <w:szCs w:val="28"/>
        </w:rPr>
        <w:t xml:space="preserve"> сельсовета составит </w:t>
      </w:r>
      <w:r w:rsidR="003B08BF">
        <w:rPr>
          <w:rFonts w:ascii="Times New Roman" w:hAnsi="Times New Roman" w:cs="Times New Roman"/>
          <w:sz w:val="28"/>
          <w:szCs w:val="28"/>
        </w:rPr>
        <w:t>59</w:t>
      </w:r>
      <w:r w:rsidRPr="00580F9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и</w:t>
      </w:r>
      <w:r w:rsidR="00065F55">
        <w:rPr>
          <w:rFonts w:ascii="Times New Roman" w:hAnsi="Times New Roman" w:cs="Times New Roman"/>
          <w:sz w:val="28"/>
          <w:szCs w:val="28"/>
        </w:rPr>
        <w:t xml:space="preserve"> средних предприятиях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757AAD">
        <w:rPr>
          <w:rFonts w:ascii="Times New Roman" w:hAnsi="Times New Roman" w:cs="Times New Roman"/>
          <w:sz w:val="28"/>
          <w:szCs w:val="28"/>
        </w:rPr>
        <w:t xml:space="preserve">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</w:t>
      </w:r>
      <w:r w:rsidR="00065F55">
        <w:rPr>
          <w:rFonts w:ascii="Times New Roman" w:hAnsi="Times New Roman" w:cs="Times New Roman"/>
          <w:sz w:val="28"/>
          <w:szCs w:val="28"/>
        </w:rPr>
        <w:t xml:space="preserve">ателей) на территории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3B08BF">
        <w:rPr>
          <w:rFonts w:ascii="Times New Roman" w:hAnsi="Times New Roman" w:cs="Times New Roman"/>
          <w:sz w:val="28"/>
          <w:szCs w:val="28"/>
        </w:rPr>
        <w:t xml:space="preserve"> сельсовета составит не менее 6</w:t>
      </w:r>
      <w:r w:rsidRPr="00757AAD">
        <w:rPr>
          <w:rFonts w:ascii="Times New Roman" w:hAnsi="Times New Roman" w:cs="Times New Roman"/>
          <w:sz w:val="28"/>
          <w:szCs w:val="28"/>
        </w:rPr>
        <w:t>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планируется в период с 2020 по 2025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3A1D7B">
        <w:rPr>
          <w:rFonts w:ascii="Times New Roman" w:hAnsi="Times New Roman" w:cs="Times New Roman"/>
          <w:sz w:val="28"/>
          <w:szCs w:val="28"/>
        </w:rPr>
        <w:t>5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- оказание  имущественной поддержки СМСП, т.е. информирование СМСП о </w:t>
      </w:r>
      <w:r w:rsidRPr="005E40A2">
        <w:rPr>
          <w:rFonts w:ascii="Times New Roman" w:hAnsi="Times New Roman"/>
          <w:sz w:val="28"/>
          <w:szCs w:val="28"/>
        </w:rPr>
        <w:lastRenderedPageBreak/>
        <w:t>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065F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proofErr w:type="spellStart"/>
      <w:r w:rsidR="00065F55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065F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580F96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580F96" w:rsidRPr="00580F96">
        <w:rPr>
          <w:rFonts w:ascii="Times New Roman" w:hAnsi="Times New Roman" w:cs="Times New Roman"/>
          <w:sz w:val="28"/>
          <w:szCs w:val="28"/>
        </w:rPr>
        <w:t>20</w:t>
      </w:r>
      <w:r w:rsidR="00C575F2" w:rsidRPr="00580F96">
        <w:rPr>
          <w:rFonts w:ascii="Times New Roman" w:hAnsi="Times New Roman" w:cs="Times New Roman"/>
          <w:sz w:val="28"/>
          <w:szCs w:val="28"/>
        </w:rPr>
        <w:t>,0</w:t>
      </w:r>
      <w:r w:rsidRPr="00580F9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580F96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580F96">
        <w:rPr>
          <w:rFonts w:ascii="Times New Roman" w:hAnsi="Times New Roman" w:cs="Times New Roman"/>
          <w:sz w:val="28"/>
          <w:szCs w:val="28"/>
        </w:rPr>
        <w:t>местного</w:t>
      </w:r>
      <w:r w:rsidRPr="00580F96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580F96" w:rsidRPr="00580F96">
        <w:rPr>
          <w:rFonts w:ascii="Times New Roman" w:hAnsi="Times New Roman" w:cs="Times New Roman"/>
          <w:sz w:val="28"/>
          <w:szCs w:val="28"/>
        </w:rPr>
        <w:t>20</w:t>
      </w:r>
      <w:r w:rsidR="00C575F2" w:rsidRPr="00580F96">
        <w:rPr>
          <w:rFonts w:ascii="Times New Roman" w:hAnsi="Times New Roman" w:cs="Times New Roman"/>
          <w:sz w:val="28"/>
          <w:szCs w:val="28"/>
        </w:rPr>
        <w:t>,0</w:t>
      </w:r>
      <w:r w:rsidRPr="00580F9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580F96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2020 году – 2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580F96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2021 году – 3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2022 году – 2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2023 году – 4,0 тыс. рублей;</w:t>
      </w:r>
    </w:p>
    <w:p w:rsidR="00C575F2" w:rsidRPr="00580F96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2024 году – 4,0 тыс. рублей;</w:t>
      </w:r>
    </w:p>
    <w:p w:rsidR="00C575F2" w:rsidRPr="00580F96" w:rsidRDefault="00580F96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2025 году – 5</w:t>
      </w:r>
      <w:r w:rsidR="00C575F2" w:rsidRPr="00580F96">
        <w:rPr>
          <w:rFonts w:ascii="Times New Roman" w:hAnsi="Times New Roman"/>
          <w:sz w:val="28"/>
          <w:szCs w:val="28"/>
        </w:rPr>
        <w:t>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065F5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</w:t>
      </w:r>
      <w:r w:rsidRPr="00C575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proofErr w:type="spellStart"/>
      <w:r w:rsidR="007E74FF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E91E49" w:rsidRDefault="007E74FF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E91E49" w:rsidRPr="00E91E49">
        <w:rPr>
          <w:rFonts w:ascii="Times New Roman" w:hAnsi="Times New Roman"/>
          <w:sz w:val="28"/>
          <w:szCs w:val="28"/>
        </w:rPr>
        <w:t xml:space="preserve">  сельсовета» на 2020-2025 годы</w:t>
      </w:r>
    </w:p>
    <w:p w:rsidR="00E91E49" w:rsidRPr="005E40A2" w:rsidRDefault="00E91E49" w:rsidP="00E91E49">
      <w:pPr>
        <w:spacing w:after="0"/>
      </w:pPr>
    </w:p>
    <w:p w:rsidR="00E91E49" w:rsidRPr="009E5F5A" w:rsidRDefault="00E91E49" w:rsidP="00E91E49">
      <w:pPr>
        <w:jc w:val="center"/>
        <w:rPr>
          <w:color w:val="0070C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1275"/>
        <w:gridCol w:w="1276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06" w:type="dxa"/>
            <w:gridSpan w:val="9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E91E49" w:rsidRPr="00E91E49" w:rsidTr="003B222E">
        <w:tc>
          <w:tcPr>
            <w:tcW w:w="710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 w:rsidR="008E530B" w:rsidRPr="009515B2">
              <w:rPr>
                <w:rFonts w:ascii="Times New Roman" w:hAnsi="Times New Roman"/>
                <w:sz w:val="28"/>
                <w:szCs w:val="28"/>
              </w:rPr>
              <w:t>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91E49" w:rsidRPr="00E91E49" w:rsidTr="003B222E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1E49" w:rsidRPr="00E91E49" w:rsidTr="008E530B">
        <w:tc>
          <w:tcPr>
            <w:tcW w:w="15735" w:type="dxa"/>
            <w:gridSpan w:val="1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471458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</w:t>
            </w:r>
            <w:proofErr w:type="spellStart"/>
            <w:r w:rsidR="00471458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471458">
              <w:rPr>
                <w:rFonts w:ascii="Times New Roman" w:hAnsi="Times New Roman"/>
                <w:sz w:val="28"/>
                <w:szCs w:val="28"/>
              </w:rPr>
              <w:t xml:space="preserve"> сельсовета» на 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  <w:r w:rsidR="00471458">
              <w:rPr>
                <w:rFonts w:ascii="Times New Roman" w:hAnsi="Times New Roman"/>
                <w:sz w:val="28"/>
                <w:szCs w:val="28"/>
              </w:rPr>
              <w:t>-2025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91E49" w:rsidRPr="009515B2" w:rsidRDefault="00E91E49" w:rsidP="00164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 w:rsidR="00164CB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7E74FF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91E49" w:rsidRPr="009515B2" w:rsidRDefault="007E74FF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91E49" w:rsidRPr="009515B2" w:rsidRDefault="00164CB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E91E49" w:rsidRPr="009515B2" w:rsidRDefault="00720B5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91E49" w:rsidRPr="00E1490B" w:rsidTr="008E530B">
        <w:tc>
          <w:tcPr>
            <w:tcW w:w="710" w:type="dxa"/>
          </w:tcPr>
          <w:p w:rsidR="00E91E49" w:rsidRPr="00E1490B" w:rsidRDefault="009515B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E149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91E49" w:rsidRPr="00E1490B" w:rsidRDefault="00E91E49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и средних предприятиях района (по отношению к уровню предыдущего года)</w:t>
            </w:r>
          </w:p>
        </w:tc>
        <w:tc>
          <w:tcPr>
            <w:tcW w:w="1276" w:type="dxa"/>
          </w:tcPr>
          <w:p w:rsidR="00E91E49" w:rsidRPr="00E1490B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E91E49" w:rsidRPr="00E1490B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9515B2" w:rsidRPr="00E1490B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E91E49" w:rsidRPr="00E1490B" w:rsidRDefault="009515B2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gridSpan w:val="2"/>
          </w:tcPr>
          <w:p w:rsidR="00C6010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275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08,0</w:t>
            </w:r>
          </w:p>
        </w:tc>
      </w:tr>
      <w:tr w:rsidR="00E1490B" w:rsidRPr="00E1490B" w:rsidTr="008E530B">
        <w:tc>
          <w:tcPr>
            <w:tcW w:w="710" w:type="dxa"/>
          </w:tcPr>
          <w:p w:rsidR="00E1490B" w:rsidRPr="00E1490B" w:rsidRDefault="00E1490B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E1490B" w:rsidRPr="00E1490B" w:rsidRDefault="00E1490B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490B" w:rsidRPr="00E1490B" w:rsidRDefault="007E74FF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490B" w:rsidRPr="00E1490B" w:rsidRDefault="003B08BF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</w:t>
      </w: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47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458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proofErr w:type="spellStart"/>
      <w:r w:rsidR="00471458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2"/>
        <w:gridCol w:w="853"/>
        <w:gridCol w:w="850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3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303BB5" w:rsidRPr="005E40A2" w:rsidTr="008D1A77">
        <w:trPr>
          <w:trHeight w:val="720"/>
        </w:trPr>
        <w:tc>
          <w:tcPr>
            <w:tcW w:w="54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5E40A2" w:rsidTr="008D1A77">
        <w:trPr>
          <w:trHeight w:val="330"/>
        </w:trPr>
        <w:tc>
          <w:tcPr>
            <w:tcW w:w="54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61086" w:rsidRPr="005E40A2" w:rsidRDefault="00561086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3BB5" w:rsidRPr="00CC1B75" w:rsidTr="008D1A77">
        <w:trPr>
          <w:trHeight w:val="428"/>
        </w:trPr>
        <w:tc>
          <w:tcPr>
            <w:tcW w:w="541" w:type="dxa"/>
            <w:vMerge w:val="restart"/>
          </w:tcPr>
          <w:p w:rsidR="00561086" w:rsidRPr="00783A43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 w:rsidR="0047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</w:t>
            </w:r>
            <w:proofErr w:type="spellStart"/>
            <w:r w:rsidR="00471458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Парфёновского</w:t>
            </w:r>
            <w:proofErr w:type="spellEnd"/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561086" w:rsidRPr="00783A43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561086" w:rsidRPr="00783A43" w:rsidRDefault="0047145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Парфёновского</w:t>
            </w:r>
            <w:proofErr w:type="spellEnd"/>
            <w:r w:rsidR="00561086"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A81"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18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61086" w:rsidRPr="00624DC3" w:rsidRDefault="00561086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971"/>
        </w:trPr>
        <w:tc>
          <w:tcPr>
            <w:tcW w:w="541" w:type="dxa"/>
            <w:vMerge/>
          </w:tcPr>
          <w:p w:rsidR="00624DC3" w:rsidRPr="00783A43" w:rsidRDefault="00624DC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783A43" w:rsidRDefault="00624DC3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580F9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580F9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580F96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324"/>
        </w:trPr>
        <w:tc>
          <w:tcPr>
            <w:tcW w:w="541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303BB5" w:rsidRPr="005E40A2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303BB5" w:rsidRPr="00624DC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03BB5" w:rsidRPr="00624DC3" w:rsidRDefault="00383A8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="00303BB5"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BB5" w:rsidRPr="00624DC3" w:rsidRDefault="00303BB5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892"/>
        </w:trPr>
        <w:tc>
          <w:tcPr>
            <w:tcW w:w="541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783A4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408"/>
        </w:trPr>
        <w:tc>
          <w:tcPr>
            <w:tcW w:w="541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B84949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624DC3" w:rsidRPr="00624DC3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2123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24DC3" w:rsidRPr="00624DC3" w:rsidRDefault="00383A81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935"/>
        </w:trPr>
        <w:tc>
          <w:tcPr>
            <w:tcW w:w="541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624DC3" w:rsidRDefault="00624DC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84949" w:rsidRPr="00CC1B75" w:rsidTr="008D1A77">
        <w:trPr>
          <w:trHeight w:val="1013"/>
        </w:trPr>
        <w:tc>
          <w:tcPr>
            <w:tcW w:w="541" w:type="dxa"/>
            <w:vMerge w:val="restart"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  <w:vMerge w:val="restart"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B84949" w:rsidRPr="00B84949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4949"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1012"/>
        </w:trPr>
        <w:tc>
          <w:tcPr>
            <w:tcW w:w="541" w:type="dxa"/>
            <w:vMerge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968"/>
        </w:trPr>
        <w:tc>
          <w:tcPr>
            <w:tcW w:w="541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967"/>
        </w:trPr>
        <w:tc>
          <w:tcPr>
            <w:tcW w:w="541" w:type="dxa"/>
            <w:vMerge/>
          </w:tcPr>
          <w:p w:rsid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CC1B7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CC1B7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CC1B7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303BB5" w:rsidRPr="005E40A2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3BB5" w:rsidRPr="005E40A2">
              <w:rPr>
                <w:rFonts w:ascii="Times New Roman" w:hAnsi="Times New Roman"/>
                <w:b/>
                <w:sz w:val="24"/>
                <w:szCs w:val="24"/>
              </w:rPr>
              <w:t>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303BB5" w:rsidRDefault="00303BB5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33D7E" w:rsidRPr="00CC1B75" w:rsidTr="008D1A77">
        <w:trPr>
          <w:trHeight w:val="1343"/>
        </w:trPr>
        <w:tc>
          <w:tcPr>
            <w:tcW w:w="541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23" w:type="dxa"/>
            <w:vMerge w:val="restart"/>
          </w:tcPr>
          <w:p w:rsidR="00A33D7E" w:rsidRP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3D7E" w:rsidRPr="00CC1B75" w:rsidTr="008D1A77">
        <w:trPr>
          <w:trHeight w:val="1342"/>
        </w:trPr>
        <w:tc>
          <w:tcPr>
            <w:tcW w:w="541" w:type="dxa"/>
            <w:vMerge/>
          </w:tcPr>
          <w:p w:rsid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33D7E" w:rsidRPr="00CC1B75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33D7E" w:rsidRPr="00CC1B75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33D7E" w:rsidRPr="00CC1B75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 w:val="restart"/>
          </w:tcPr>
          <w:p w:rsidR="004B4743" w:rsidRP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  <w:vMerge w:val="restart"/>
          </w:tcPr>
          <w:p w:rsidR="004B4743" w:rsidRPr="004B4743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4743" w:rsidRPr="004B4743" w:rsidRDefault="004B4743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 w:rsidR="00580F96"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580F96">
              <w:rPr>
                <w:rFonts w:ascii="Times New Roman" w:hAnsi="Times New Roman"/>
                <w:sz w:val="24"/>
                <w:szCs w:val="24"/>
              </w:rPr>
              <w:t>Парфёновский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4B4743" w:rsidRPr="005E40A2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4B4743" w:rsidRPr="005E40A2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B4743" w:rsidRPr="00CC1B75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B4743" w:rsidRPr="00CC1B75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A77" w:rsidRPr="00CC1B75" w:rsidTr="008D1A77">
        <w:trPr>
          <w:trHeight w:val="968"/>
        </w:trPr>
        <w:tc>
          <w:tcPr>
            <w:tcW w:w="541" w:type="dxa"/>
            <w:vMerge w:val="restart"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A77" w:rsidRPr="008D1A77" w:rsidRDefault="008D1A77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 w:rsidR="00580F96"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 w:rsidR="00580F96">
              <w:rPr>
                <w:rFonts w:ascii="Times New Roman" w:hAnsi="Times New Roman"/>
                <w:sz w:val="24"/>
                <w:szCs w:val="24"/>
              </w:rPr>
              <w:t>Парфёновском</w:t>
            </w:r>
            <w:proofErr w:type="spellEnd"/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D1A77" w:rsidRPr="008D1A77" w:rsidRDefault="008D1A77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3A81"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D1A77" w:rsidRPr="00CC1B75" w:rsidTr="008D1A77">
        <w:trPr>
          <w:trHeight w:val="967"/>
        </w:trPr>
        <w:tc>
          <w:tcPr>
            <w:tcW w:w="541" w:type="dxa"/>
            <w:vMerge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266"/>
        </w:trPr>
        <w:tc>
          <w:tcPr>
            <w:tcW w:w="541" w:type="dxa"/>
            <w:vMerge w:val="restart"/>
          </w:tcPr>
          <w:p w:rsidR="00561086" w:rsidRPr="008D1A77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</w:t>
            </w:r>
            <w:r w:rsidR="00305C58" w:rsidRPr="008D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vMerge w:val="restart"/>
          </w:tcPr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305C58" w:rsidRPr="008D1A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сопровождение, направленное на формирование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561086" w:rsidRPr="008D1A77" w:rsidRDefault="008D1A77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5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8D1A77" w:rsidRDefault="0056108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1A77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1086" w:rsidRPr="00DB5A30" w:rsidRDefault="00580F96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561086" w:rsidRPr="00DB5A30" w:rsidRDefault="0056108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D1A77" w:rsidRPr="00DB5A30" w:rsidRDefault="008D1A77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A77" w:rsidRPr="00DB5A30" w:rsidRDefault="008D1A77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61086" w:rsidRPr="00DB5A30" w:rsidRDefault="008D1A77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CC1B75" w:rsidTr="008D1A77">
        <w:trPr>
          <w:trHeight w:val="950"/>
        </w:trPr>
        <w:tc>
          <w:tcPr>
            <w:tcW w:w="54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CC1B75" w:rsidRDefault="00561086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1A77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1086" w:rsidRPr="00DB5A30" w:rsidRDefault="00580F96" w:rsidP="0058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580F96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580F96">
        <w:rPr>
          <w:rFonts w:ascii="Times New Roman" w:hAnsi="Times New Roman"/>
          <w:sz w:val="28"/>
          <w:szCs w:val="28"/>
        </w:rPr>
        <w:t>Парфёновского</w:t>
      </w:r>
      <w:proofErr w:type="spellEnd"/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275"/>
        <w:gridCol w:w="1276"/>
        <w:gridCol w:w="1701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7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E91E49" w:rsidRPr="00E91E49" w:rsidTr="00E91E49">
        <w:tc>
          <w:tcPr>
            <w:tcW w:w="5528" w:type="dxa"/>
            <w:vMerge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E91E49" w:rsidRPr="00DB5A30" w:rsidRDefault="00DB5A3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1E49" w:rsidRPr="00DB5A30" w:rsidRDefault="00580F96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E91E49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 w:rsidR="00580F96">
              <w:rPr>
                <w:rFonts w:ascii="Times New Roman" w:hAnsi="Times New Roman"/>
                <w:sz w:val="28"/>
                <w:szCs w:val="28"/>
              </w:rPr>
              <w:t xml:space="preserve">ального образования  </w:t>
            </w:r>
            <w:proofErr w:type="spellStart"/>
            <w:r w:rsidR="00580F96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1E49" w:rsidRPr="00DB5A30" w:rsidRDefault="00580F96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65F55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4CBA"/>
    <w:rsid w:val="00196BD2"/>
    <w:rsid w:val="001975C8"/>
    <w:rsid w:val="001E40A3"/>
    <w:rsid w:val="00204931"/>
    <w:rsid w:val="00204A35"/>
    <w:rsid w:val="00204FE1"/>
    <w:rsid w:val="002112BF"/>
    <w:rsid w:val="002370C0"/>
    <w:rsid w:val="00272D40"/>
    <w:rsid w:val="002A5365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08BF"/>
    <w:rsid w:val="003B222E"/>
    <w:rsid w:val="003F1AA4"/>
    <w:rsid w:val="003F7F43"/>
    <w:rsid w:val="0040022A"/>
    <w:rsid w:val="00412C42"/>
    <w:rsid w:val="004251C4"/>
    <w:rsid w:val="0043117B"/>
    <w:rsid w:val="004330B1"/>
    <w:rsid w:val="0044089A"/>
    <w:rsid w:val="00451AF4"/>
    <w:rsid w:val="00466CC2"/>
    <w:rsid w:val="00471458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1529F"/>
    <w:rsid w:val="005242F0"/>
    <w:rsid w:val="00533A82"/>
    <w:rsid w:val="00541A16"/>
    <w:rsid w:val="00561086"/>
    <w:rsid w:val="005617A5"/>
    <w:rsid w:val="00580F96"/>
    <w:rsid w:val="0058181F"/>
    <w:rsid w:val="00592619"/>
    <w:rsid w:val="005A61A0"/>
    <w:rsid w:val="005B63B5"/>
    <w:rsid w:val="005C402B"/>
    <w:rsid w:val="005E40A2"/>
    <w:rsid w:val="00602DC3"/>
    <w:rsid w:val="00624DC3"/>
    <w:rsid w:val="00643D6E"/>
    <w:rsid w:val="00650593"/>
    <w:rsid w:val="00693287"/>
    <w:rsid w:val="006C59CA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7E74FF"/>
    <w:rsid w:val="00816192"/>
    <w:rsid w:val="008168B3"/>
    <w:rsid w:val="00825CB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8F27EF"/>
    <w:rsid w:val="00902FA3"/>
    <w:rsid w:val="009515B2"/>
    <w:rsid w:val="00970A5B"/>
    <w:rsid w:val="0098742C"/>
    <w:rsid w:val="00991BAF"/>
    <w:rsid w:val="009A7BE1"/>
    <w:rsid w:val="009B6883"/>
    <w:rsid w:val="009C2EDD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9509D"/>
    <w:rsid w:val="00BA3232"/>
    <w:rsid w:val="00BC0851"/>
    <w:rsid w:val="00BD338B"/>
    <w:rsid w:val="00BD3BB6"/>
    <w:rsid w:val="00BD5844"/>
    <w:rsid w:val="00BD5F9B"/>
    <w:rsid w:val="00BE2390"/>
    <w:rsid w:val="00BF7A16"/>
    <w:rsid w:val="00C0668F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D14C28"/>
    <w:rsid w:val="00D16CC5"/>
    <w:rsid w:val="00D2198E"/>
    <w:rsid w:val="00D46485"/>
    <w:rsid w:val="00D61B70"/>
    <w:rsid w:val="00DA34E6"/>
    <w:rsid w:val="00DB5342"/>
    <w:rsid w:val="00DB5A30"/>
    <w:rsid w:val="00DE479C"/>
    <w:rsid w:val="00DF6A12"/>
    <w:rsid w:val="00DF7E1F"/>
    <w:rsid w:val="00E056C7"/>
    <w:rsid w:val="00E07EC5"/>
    <w:rsid w:val="00E1490B"/>
    <w:rsid w:val="00E91E49"/>
    <w:rsid w:val="00EB3D92"/>
    <w:rsid w:val="00EF01A8"/>
    <w:rsid w:val="00EF60F7"/>
    <w:rsid w:val="00F03B61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91492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0B95-1160-4BF7-AF57-197C3AA6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Пользователь</cp:lastModifiedBy>
  <cp:revision>8</cp:revision>
  <cp:lastPrinted>2019-09-26T04:43:00Z</cp:lastPrinted>
  <dcterms:created xsi:type="dcterms:W3CDTF">2019-10-02T09:01:00Z</dcterms:created>
  <dcterms:modified xsi:type="dcterms:W3CDTF">2019-11-01T04:55:00Z</dcterms:modified>
</cp:coreProperties>
</file>