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BE" w:rsidRPr="009615BE" w:rsidRDefault="008D3B4B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БЕЛОЯРОВ</w:t>
      </w:r>
      <w:r w:rsidR="009615BE" w:rsidRPr="009615BE">
        <w:rPr>
          <w:rFonts w:ascii="Times New Roman" w:hAnsi="Times New Roman" w:cs="Times New Roman"/>
          <w:b/>
          <w:sz w:val="28"/>
          <w:szCs w:val="28"/>
        </w:rPr>
        <w:t xml:space="preserve">СКИЙ СЕЛЬСКИЙ СОВЕТ ДЕПУТАТОВ </w:t>
      </w:r>
    </w:p>
    <w:p w:rsidR="009615BE" w:rsidRPr="009615BE" w:rsidRDefault="009615BE" w:rsidP="00961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BE">
        <w:rPr>
          <w:rFonts w:ascii="Times New Roman" w:hAnsi="Times New Roman" w:cs="Times New Roman"/>
          <w:b/>
          <w:sz w:val="28"/>
          <w:szCs w:val="28"/>
        </w:rPr>
        <w:t>ТОПЧИХИНСКОГО РАЙОНА АЛТАЙСКОГО КРАЯ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8D3B4B" w:rsidRDefault="008D3B4B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Pr="00AC5412" w:rsidRDefault="009615BE" w:rsidP="009615BE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proofErr w:type="gramStart"/>
      <w:r w:rsidRPr="00AC5412">
        <w:rPr>
          <w:b w:val="0"/>
          <w:sz w:val="28"/>
          <w:szCs w:val="28"/>
        </w:rPr>
        <w:t>Р</w:t>
      </w:r>
      <w:proofErr w:type="gramEnd"/>
      <w:r w:rsidRPr="00AC5412">
        <w:rPr>
          <w:b w:val="0"/>
          <w:sz w:val="28"/>
          <w:szCs w:val="28"/>
        </w:rPr>
        <w:t xml:space="preserve"> Е Ш Е Н И Е</w:t>
      </w:r>
    </w:p>
    <w:p w:rsidR="009615BE" w:rsidRDefault="009615BE" w:rsidP="00BC1F0A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9615BE" w:rsidRDefault="00AC5412" w:rsidP="009615BE">
      <w:pPr>
        <w:pStyle w:val="ConsTitle"/>
        <w:widowControl/>
        <w:ind w:right="0"/>
        <w:rPr>
          <w:b w:val="0"/>
          <w:sz w:val="24"/>
        </w:rPr>
      </w:pPr>
      <w:r>
        <w:rPr>
          <w:b w:val="0"/>
          <w:sz w:val="24"/>
        </w:rPr>
        <w:t>27.12.</w:t>
      </w:r>
      <w:r w:rsidR="009615BE">
        <w:rPr>
          <w:b w:val="0"/>
          <w:sz w:val="24"/>
        </w:rPr>
        <w:t xml:space="preserve"> 2017                                                                                                 </w:t>
      </w:r>
      <w:r>
        <w:rPr>
          <w:b w:val="0"/>
          <w:sz w:val="24"/>
        </w:rPr>
        <w:t xml:space="preserve">            </w:t>
      </w:r>
      <w:r w:rsidR="009615BE">
        <w:rPr>
          <w:b w:val="0"/>
          <w:sz w:val="24"/>
        </w:rPr>
        <w:t xml:space="preserve">     № </w:t>
      </w:r>
      <w:r>
        <w:rPr>
          <w:b w:val="0"/>
          <w:sz w:val="24"/>
        </w:rPr>
        <w:t>31</w:t>
      </w:r>
    </w:p>
    <w:p w:rsidR="00811469" w:rsidRDefault="00811469" w:rsidP="00BC1F0A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Default="009615BE" w:rsidP="00BC1F0A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r w:rsidR="008D3B4B">
        <w:rPr>
          <w:sz w:val="18"/>
          <w:szCs w:val="18"/>
        </w:rPr>
        <w:t>Белояро</w:t>
      </w:r>
      <w:r>
        <w:rPr>
          <w:sz w:val="18"/>
          <w:szCs w:val="18"/>
        </w:rPr>
        <w:t>вка</w:t>
      </w:r>
    </w:p>
    <w:p w:rsidR="009615BE" w:rsidRDefault="009615BE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AC5412" w:rsidRDefault="00AC5412" w:rsidP="009615BE">
      <w:pPr>
        <w:pStyle w:val="ConsTitle"/>
        <w:widowControl/>
        <w:ind w:right="0"/>
        <w:jc w:val="center"/>
        <w:rPr>
          <w:sz w:val="18"/>
          <w:szCs w:val="18"/>
        </w:rPr>
      </w:pPr>
    </w:p>
    <w:p w:rsidR="009615BE" w:rsidRPr="009615BE" w:rsidRDefault="009615BE" w:rsidP="009615BE">
      <w:pPr>
        <w:tabs>
          <w:tab w:val="left" w:pos="4820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 xml:space="preserve">О внесении дополнения в Правила благоустройства муниципального образования </w:t>
      </w:r>
      <w:proofErr w:type="spellStart"/>
      <w:r w:rsidR="008D3B4B">
        <w:rPr>
          <w:rFonts w:ascii="Times New Roman" w:hAnsi="Times New Roman" w:cs="Times New Roman"/>
          <w:sz w:val="28"/>
          <w:szCs w:val="28"/>
        </w:rPr>
        <w:t>Белояро</w:t>
      </w:r>
      <w:r w:rsidRPr="009615BE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утвержденные решением сельского Совета депутатов от 23.05.2012 № </w:t>
      </w:r>
      <w:r w:rsidR="008D3B4B">
        <w:rPr>
          <w:rFonts w:ascii="Times New Roman" w:hAnsi="Times New Roman" w:cs="Times New Roman"/>
          <w:sz w:val="28"/>
          <w:szCs w:val="28"/>
        </w:rPr>
        <w:t>25</w:t>
      </w:r>
    </w:p>
    <w:p w:rsidR="009615BE" w:rsidRPr="00BC1F0A" w:rsidRDefault="009615BE" w:rsidP="009615BE">
      <w:pPr>
        <w:pStyle w:val="ConsTitle"/>
        <w:widowControl/>
        <w:ind w:right="4854"/>
        <w:jc w:val="both"/>
        <w:rPr>
          <w:rFonts w:ascii="Times New Roman" w:hAnsi="Times New Roman" w:cs="Times New Roman"/>
          <w:b w:val="0"/>
        </w:rPr>
      </w:pP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9615BE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9615B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8D3B4B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Pr="009615B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9615BE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r w:rsidRPr="00961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BE" w:rsidRPr="009615BE" w:rsidRDefault="009615BE" w:rsidP="009615B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5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 xml:space="preserve">Дополнить Правила благоустройства муниципального образования </w:t>
      </w:r>
      <w:proofErr w:type="spellStart"/>
      <w:r w:rsidR="008D3B4B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8D3B4B" w:rsidRPr="009615BE">
        <w:rPr>
          <w:rFonts w:ascii="Times New Roman" w:hAnsi="Times New Roman" w:cs="Times New Roman"/>
          <w:sz w:val="28"/>
          <w:szCs w:val="28"/>
        </w:rPr>
        <w:t xml:space="preserve"> </w:t>
      </w:r>
      <w:r w:rsidRPr="009615BE">
        <w:rPr>
          <w:rFonts w:ascii="Times New Roman" w:hAnsi="Times New Roman" w:cs="Times New Roman"/>
          <w:sz w:val="28"/>
          <w:szCs w:val="28"/>
        </w:rPr>
        <w:t xml:space="preserve">сельсовет Топчихинского района Алтайского края, утвержденные решением сельского Совета депутатов от 23.05.2012 № </w:t>
      </w:r>
      <w:r w:rsidR="008D3B4B">
        <w:rPr>
          <w:rFonts w:ascii="Times New Roman" w:hAnsi="Times New Roman" w:cs="Times New Roman"/>
          <w:sz w:val="28"/>
          <w:szCs w:val="28"/>
        </w:rPr>
        <w:t>25</w:t>
      </w:r>
      <w:r w:rsidRPr="009615BE">
        <w:rPr>
          <w:rFonts w:ascii="Times New Roman" w:hAnsi="Times New Roman" w:cs="Times New Roman"/>
          <w:sz w:val="28"/>
          <w:szCs w:val="28"/>
        </w:rPr>
        <w:t xml:space="preserve"> разделом 14 следующего содержания:</w:t>
      </w:r>
    </w:p>
    <w:p w:rsidR="009615BE" w:rsidRPr="001D38F1" w:rsidRDefault="009615BE" w:rsidP="009615BE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«14. </w:t>
      </w:r>
      <w:r w:rsidRPr="001D38F1">
        <w:rPr>
          <w:rFonts w:ascii="Times New Roman" w:hAnsi="Times New Roman" w:cs="Times New Roman"/>
          <w:b/>
          <w:sz w:val="28"/>
          <w:szCs w:val="28"/>
        </w:rPr>
        <w:t>Порядок и механизмы общественного участия в процессе благоустройства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.1.Задачи, эффективность и формы общественного участия.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 сельской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Участие в развитии сельской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 xml:space="preserve">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D38F1">
        <w:rPr>
          <w:rFonts w:ascii="Times New Roman" w:hAnsi="Times New Roman" w:cs="Times New Roman"/>
          <w:sz w:val="28"/>
          <w:szCs w:val="28"/>
        </w:rPr>
        <w:t>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>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учёту различных мнений, объективному повышению качества решений.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.2.Основные решения.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Разработка внутренних правил, регулирующих процесс общественного участия;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рекомендуется провести следующие процедуры: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1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3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4</w:t>
      </w:r>
      <w:r w:rsidRPr="001D38F1">
        <w:rPr>
          <w:rFonts w:ascii="Times New Roman" w:hAnsi="Times New Roman" w:cs="Times New Roman"/>
          <w:sz w:val="28"/>
          <w:szCs w:val="28"/>
        </w:rPr>
        <w:tab/>
        <w:t>этап: передача выбранной концепции на доработку специалистам, вновь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Все формы общественного участия целесообразно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Все решения, касающиеся благоустройства и развития территорий рекомендуется принимать открыто и гласно, с учетом мнения жителей соответствующих территорий и иных заинтересованных лиц.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.2.4.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рекомендуется  размещать информацию на официальном сайте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 Формы общественного участия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8F1">
        <w:rPr>
          <w:rFonts w:ascii="Times New Roman" w:hAnsi="Times New Roman" w:cs="Times New Roman"/>
          <w:sz w:val="28"/>
          <w:szCs w:val="28"/>
        </w:rPr>
        <w:t>б)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территории.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Консультации в выборе типов покрытий, с учетом функционального зонирования территории;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Консультации по предполагаемым типам озеленения;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Консультации по предполагаемым типам освещения и осветительного оборудования;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615BE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</w:t>
      </w:r>
      <w:r w:rsidRPr="001D38F1">
        <w:rPr>
          <w:rFonts w:ascii="Times New Roman" w:hAnsi="Times New Roman" w:cs="Times New Roman"/>
          <w:sz w:val="28"/>
          <w:szCs w:val="28"/>
        </w:rPr>
        <w:lastRenderedPageBreak/>
        <w:t>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При реализации проектов рекомендуется информировать общественность о планирующихся изменениях и возможности участия в этом процессе.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.3.3.Информирование может осуществляться путем: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Создания единого информационного 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 xml:space="preserve"> (сайта или приложения) который будет решать задачи по сбору информации, обеспечению «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» участия и регулярном информированию о ходе проекта с  публикацией фото, видео и текстовых отчетов по итогам проведения общественных обсуждений;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Информирования</w:t>
      </w:r>
      <w:r w:rsidRPr="001D38F1">
        <w:rPr>
          <w:rFonts w:ascii="Times New Roman" w:hAnsi="Times New Roman" w:cs="Times New Roman"/>
          <w:sz w:val="28"/>
          <w:szCs w:val="28"/>
        </w:rPr>
        <w:t xml:space="preserve">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Индивидуальных приглашений участников встречи лично, по электронной почте или по телефону;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 xml:space="preserve">ж) Использование социальных сетей и </w:t>
      </w: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 Механизмы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.4.1.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</w:t>
      </w:r>
      <w:r w:rsidR="009615BE" w:rsidRPr="001D38F1">
        <w:rPr>
          <w:rFonts w:ascii="Times New Roman" w:hAnsi="Times New Roman" w:cs="Times New Roman"/>
          <w:sz w:val="28"/>
          <w:szCs w:val="28"/>
        </w:rPr>
        <w:tab/>
        <w:t>предусмотренными Федеральным законом от 21 июля 2014 г. № 212-ФЗ «Об основах общественного контроля в Российской Федерации».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.4.2.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следующие инструменты: анкетирование, опросы, интервьюирование, картирование,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 проектных мастерских  (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), проведение общественных обсуждений, проведение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На каждом этапе проектирования рекомендуется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.4.3.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рекомендуется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По итогам встреч, проектных семинаров,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воркшопов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дизайн-игр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 любых других форматов общественных обсуждений рекомендуется сформировать отчет, а также видеозапись самого мероприятия, и выложить в публичный доступ,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  <w:proofErr w:type="gramEnd"/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.4.5.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предпроектного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 исследования, а также сам проект.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.4.6.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является одним из механизмов общественного участия.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.4.7.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Рекомендуется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.4.8.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9615BE" w:rsidRPr="001D38F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615BE" w:rsidRPr="001D3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5BE" w:rsidRPr="001D38F1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9615BE" w:rsidRPr="001D38F1">
        <w:rPr>
          <w:rFonts w:ascii="Times New Roman" w:hAnsi="Times New Roman" w:cs="Times New Roman"/>
          <w:sz w:val="28"/>
          <w:szCs w:val="28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.4.9.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Общественный контроль в области благоустройства осуществляется </w:t>
      </w:r>
      <w:r w:rsidR="009615BE" w:rsidRPr="001D38F1">
        <w:rPr>
          <w:rFonts w:ascii="Times New Roman" w:hAnsi="Times New Roman" w:cs="Times New Roman"/>
          <w:sz w:val="28"/>
          <w:szCs w:val="28"/>
        </w:rPr>
        <w:lastRenderedPageBreak/>
        <w:t>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 Участие лиц, осуществляющих предпринимательскую деятельность, в реализации комплексных проектов по благоустройству и созданию комфортной среды.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.5.1. Создание комфортной сельской среды рекомендуется,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сельской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1D38F1">
        <w:rPr>
          <w:rFonts w:ascii="Times New Roman" w:hAnsi="Times New Roman" w:cs="Times New Roman"/>
          <w:sz w:val="28"/>
          <w:szCs w:val="28"/>
        </w:rPr>
        <w:t xml:space="preserve"> В создании и предоставлении разного рода услуг и сервисов для посетителей общественных пространств;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в) В строительстве, реконструкции, реставрации объектов недвижимости;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г) В производстве или размещении элементов благоустройства;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8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D38F1">
        <w:rPr>
          <w:rFonts w:ascii="Times New Roman" w:hAnsi="Times New Roman" w:cs="Times New Roman"/>
          <w:sz w:val="28"/>
          <w:szCs w:val="28"/>
        </w:rPr>
        <w:t>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е) В организации мероприятий обеспечивающих приток посетителей на создаваемые общественные пространства;</w:t>
      </w:r>
    </w:p>
    <w:p w:rsidR="009615BE" w:rsidRPr="001D38F1" w:rsidRDefault="009615BE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8F1">
        <w:rPr>
          <w:rFonts w:ascii="Times New Roman" w:hAnsi="Times New Roman" w:cs="Times New Roman"/>
          <w:sz w:val="28"/>
          <w:szCs w:val="28"/>
        </w:rPr>
        <w:t>ж) В организации уборки благоустроенных территорий, предоставлении сре</w:t>
      </w:r>
      <w:proofErr w:type="gramStart"/>
      <w:r w:rsidRPr="001D38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D38F1">
        <w:rPr>
          <w:rFonts w:ascii="Times New Roman" w:hAnsi="Times New Roman" w:cs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5BE" w:rsidRPr="001D38F1" w:rsidRDefault="00BC1F0A" w:rsidP="009615BE">
      <w:pPr>
        <w:autoSpaceDE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.5.3. В реализации комплексных проектов благоустройства могут принимать участие лица, осуществляющих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615BE" w:rsidRPr="009615BE" w:rsidRDefault="00BC1F0A" w:rsidP="009615BE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15BE" w:rsidRPr="001D38F1">
        <w:rPr>
          <w:rFonts w:ascii="Times New Roman" w:hAnsi="Times New Roman" w:cs="Times New Roman"/>
          <w:sz w:val="28"/>
          <w:szCs w:val="28"/>
        </w:rPr>
        <w:t>.5.4.</w:t>
      </w:r>
      <w:r w:rsidR="009615BE">
        <w:rPr>
          <w:rFonts w:ascii="Times New Roman" w:hAnsi="Times New Roman" w:cs="Times New Roman"/>
          <w:sz w:val="28"/>
          <w:szCs w:val="28"/>
        </w:rPr>
        <w:t xml:space="preserve"> </w:t>
      </w:r>
      <w:r w:rsidR="009615BE" w:rsidRPr="001D38F1">
        <w:rPr>
          <w:rFonts w:ascii="Times New Roman" w:hAnsi="Times New Roman" w:cs="Times New Roman"/>
          <w:sz w:val="28"/>
          <w:szCs w:val="28"/>
        </w:rPr>
        <w:t xml:space="preserve">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</w:t>
      </w:r>
      <w:r w:rsidR="009615BE" w:rsidRPr="009615BE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Start"/>
      <w:r w:rsidR="009615BE" w:rsidRPr="009615B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1F0A" w:rsidRDefault="009615BE" w:rsidP="00BC1F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615BE" w:rsidRDefault="00BC1F0A" w:rsidP="009615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615B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615BE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постоянную комиссию по бюджету и вопросам местного самоуправления.</w:t>
      </w: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5BE" w:rsidRDefault="009615BE" w:rsidP="009615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сельсовета                                                                           </w:t>
      </w:r>
      <w:r w:rsidR="008D3B4B">
        <w:rPr>
          <w:rFonts w:ascii="Times New Roman" w:hAnsi="Times New Roman" w:cs="Times New Roman"/>
          <w:b w:val="0"/>
          <w:sz w:val="28"/>
          <w:szCs w:val="28"/>
        </w:rPr>
        <w:t xml:space="preserve">С.С. </w:t>
      </w:r>
      <w:proofErr w:type="spellStart"/>
      <w:r w:rsidR="008D3B4B">
        <w:rPr>
          <w:rFonts w:ascii="Times New Roman" w:hAnsi="Times New Roman" w:cs="Times New Roman"/>
          <w:b w:val="0"/>
          <w:sz w:val="28"/>
          <w:szCs w:val="28"/>
        </w:rPr>
        <w:t>Садова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15BE" w:rsidRDefault="009615BE" w:rsidP="001D38F1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5BE" w:rsidSect="001D38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1CD"/>
    <w:multiLevelType w:val="hybridMultilevel"/>
    <w:tmpl w:val="517C8E62"/>
    <w:lvl w:ilvl="0" w:tplc="FF7026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E82CE2"/>
    <w:multiLevelType w:val="hybridMultilevel"/>
    <w:tmpl w:val="9A78629C"/>
    <w:lvl w:ilvl="0" w:tplc="941808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132B"/>
    <w:rsid w:val="00136F53"/>
    <w:rsid w:val="001B219F"/>
    <w:rsid w:val="001D38F1"/>
    <w:rsid w:val="002F6D1E"/>
    <w:rsid w:val="00462368"/>
    <w:rsid w:val="005735A1"/>
    <w:rsid w:val="00642038"/>
    <w:rsid w:val="007B7BAC"/>
    <w:rsid w:val="007C132B"/>
    <w:rsid w:val="007C47E7"/>
    <w:rsid w:val="00811469"/>
    <w:rsid w:val="008846A3"/>
    <w:rsid w:val="008D3B4B"/>
    <w:rsid w:val="009615BE"/>
    <w:rsid w:val="00A24DBD"/>
    <w:rsid w:val="00A45CA1"/>
    <w:rsid w:val="00AB77B5"/>
    <w:rsid w:val="00AC5412"/>
    <w:rsid w:val="00BC1F0A"/>
    <w:rsid w:val="00C60FEF"/>
    <w:rsid w:val="00CA7CE3"/>
    <w:rsid w:val="00D223B9"/>
    <w:rsid w:val="00D83640"/>
    <w:rsid w:val="00E5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2B"/>
    <w:pPr>
      <w:widowControl w:val="0"/>
      <w:suppressAutoHyphens/>
      <w:spacing w:after="0" w:line="240" w:lineRule="auto"/>
    </w:pPr>
    <w:rPr>
      <w:rFonts w:ascii="Arial" w:eastAsia="Lucida Sans Unicode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15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6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Измайлова</dc:creator>
  <cp:lastModifiedBy>User</cp:lastModifiedBy>
  <cp:revision>14</cp:revision>
  <cp:lastPrinted>2017-12-27T05:27:00Z</cp:lastPrinted>
  <dcterms:created xsi:type="dcterms:W3CDTF">2017-09-12T08:45:00Z</dcterms:created>
  <dcterms:modified xsi:type="dcterms:W3CDTF">2017-12-27T06:01:00Z</dcterms:modified>
</cp:coreProperties>
</file>